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9C58C" w14:textId="3972456E" w:rsidR="009A28C3" w:rsidRDefault="00DD0F53" w:rsidP="005A306A">
      <w:pPr>
        <w:spacing w:after="120" w:line="240" w:lineRule="auto"/>
        <w:rPr>
          <w:rFonts w:ascii="Calibri" w:hAnsi="Calibri"/>
          <w:b w:val="0"/>
        </w:rPr>
      </w:pPr>
      <w:bookmarkStart w:id="0" w:name="_top"/>
      <w:bookmarkEnd w:id="0"/>
      <w:r w:rsidRPr="00DD0F53">
        <w:rPr>
          <w:rFonts w:ascii="Calibri" w:hAnsi="Calibri"/>
          <w:noProof/>
        </w:rPr>
        <w:drawing>
          <wp:inline distT="0" distB="0" distL="0" distR="0" wp14:anchorId="6FDE5557" wp14:editId="0B70B5C0">
            <wp:extent cx="2612571" cy="712372"/>
            <wp:effectExtent l="0" t="0" r="0" b="0"/>
            <wp:docPr id="15" name="Picture 14" descr="A picture containing text, sign, clipart&#10;&#10;Description automatically generated">
              <a:extLst xmlns:a="http://schemas.openxmlformats.org/drawingml/2006/main">
                <a:ext uri="{FF2B5EF4-FFF2-40B4-BE49-F238E27FC236}">
                  <a16:creationId xmlns:a16="http://schemas.microsoft.com/office/drawing/2014/main" id="{FCBA4EC1-1C0A-4791-880D-CE1183766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sign, clipart&#10;&#10;Description automatically generated">
                      <a:extLst>
                        <a:ext uri="{FF2B5EF4-FFF2-40B4-BE49-F238E27FC236}">
                          <a16:creationId xmlns:a16="http://schemas.microsoft.com/office/drawing/2014/main" id="{FCBA4EC1-1C0A-4791-880D-CE118376619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40531" cy="719996"/>
                    </a:xfrm>
                    <a:prstGeom prst="rect">
                      <a:avLst/>
                    </a:prstGeom>
                  </pic:spPr>
                </pic:pic>
              </a:graphicData>
            </a:graphic>
          </wp:inline>
        </w:drawing>
      </w:r>
      <w:r w:rsidR="00033923">
        <w:rPr>
          <w:rFonts w:ascii="Calibri" w:hAnsi="Calibri"/>
          <w:b w:val="0"/>
          <w:noProof/>
        </w:rPr>
        <w:drawing>
          <wp:anchor distT="0" distB="0" distL="114300" distR="114300" simplePos="0" relativeHeight="251658240" behindDoc="1" locked="0" layoutInCell="1" allowOverlap="1" wp14:anchorId="7F7E0E2C" wp14:editId="010C6FF8">
            <wp:simplePos x="0" y="0"/>
            <wp:positionH relativeFrom="column">
              <wp:posOffset>5297805</wp:posOffset>
            </wp:positionH>
            <wp:positionV relativeFrom="paragraph">
              <wp:posOffset>19050</wp:posOffset>
            </wp:positionV>
            <wp:extent cx="1603251" cy="6074676"/>
            <wp:effectExtent l="0" t="0" r="0" b="254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go.png"/>
                    <pic:cNvPicPr/>
                  </pic:nvPicPr>
                  <pic:blipFill>
                    <a:blip r:embed="rId9"/>
                    <a:stretch>
                      <a:fillRect/>
                    </a:stretch>
                  </pic:blipFill>
                  <pic:spPr>
                    <a:xfrm>
                      <a:off x="0" y="0"/>
                      <a:ext cx="1603251" cy="6074676"/>
                    </a:xfrm>
                    <a:prstGeom prst="rect">
                      <a:avLst/>
                    </a:prstGeom>
                  </pic:spPr>
                </pic:pic>
              </a:graphicData>
            </a:graphic>
            <wp14:sizeRelH relativeFrom="page">
              <wp14:pctWidth>0</wp14:pctWidth>
            </wp14:sizeRelH>
            <wp14:sizeRelV relativeFrom="page">
              <wp14:pctHeight>0</wp14:pctHeight>
            </wp14:sizeRelV>
          </wp:anchor>
        </w:drawing>
      </w:r>
    </w:p>
    <w:p w14:paraId="5A60B76C" w14:textId="35A4DF31" w:rsidR="00033923" w:rsidRDefault="00033923" w:rsidP="005A306A">
      <w:pPr>
        <w:spacing w:after="120" w:line="240" w:lineRule="auto"/>
        <w:rPr>
          <w:rFonts w:ascii="Calibri" w:hAnsi="Calibri"/>
          <w:b w:val="0"/>
        </w:rPr>
      </w:pPr>
    </w:p>
    <w:p w14:paraId="1113189F" w14:textId="65C766F7" w:rsidR="00033923" w:rsidRDefault="00033923" w:rsidP="005A306A">
      <w:pPr>
        <w:spacing w:after="120" w:line="240" w:lineRule="auto"/>
        <w:rPr>
          <w:rFonts w:ascii="Calibri" w:hAnsi="Calibri"/>
          <w:b w:val="0"/>
        </w:rPr>
      </w:pPr>
    </w:p>
    <w:p w14:paraId="4B434288" w14:textId="6E5C36F7" w:rsidR="00033923" w:rsidRDefault="00033923" w:rsidP="005A306A">
      <w:pPr>
        <w:spacing w:after="120" w:line="240" w:lineRule="auto"/>
        <w:rPr>
          <w:rFonts w:ascii="Calibri" w:hAnsi="Calibri"/>
          <w:b w:val="0"/>
        </w:rPr>
      </w:pPr>
    </w:p>
    <w:p w14:paraId="62B5A095" w14:textId="189C6DC1" w:rsidR="00033923" w:rsidRDefault="00033923" w:rsidP="005A306A">
      <w:pPr>
        <w:spacing w:after="120" w:line="240" w:lineRule="auto"/>
        <w:rPr>
          <w:rFonts w:ascii="Calibri" w:hAnsi="Calibri"/>
          <w:b w:val="0"/>
        </w:rPr>
      </w:pPr>
    </w:p>
    <w:p w14:paraId="2A5E925E" w14:textId="0921E383" w:rsidR="00033923" w:rsidRDefault="00033923" w:rsidP="005A306A">
      <w:pPr>
        <w:spacing w:after="120" w:line="240" w:lineRule="auto"/>
        <w:rPr>
          <w:rFonts w:ascii="Calibri" w:hAnsi="Calibri"/>
          <w:b w:val="0"/>
        </w:rPr>
      </w:pPr>
    </w:p>
    <w:p w14:paraId="7421D760" w14:textId="7FBCEAA2" w:rsidR="00033923" w:rsidRDefault="00033923" w:rsidP="005A306A">
      <w:pPr>
        <w:spacing w:after="120" w:line="240" w:lineRule="auto"/>
        <w:rPr>
          <w:rFonts w:ascii="Calibri" w:hAnsi="Calibri"/>
          <w:b w:val="0"/>
        </w:rPr>
      </w:pPr>
    </w:p>
    <w:p w14:paraId="193DC8CA" w14:textId="724CAE6B" w:rsidR="00033923" w:rsidRDefault="00033923" w:rsidP="005A306A">
      <w:pPr>
        <w:spacing w:after="120" w:line="240" w:lineRule="auto"/>
        <w:rPr>
          <w:rFonts w:ascii="Calibri" w:hAnsi="Calibri"/>
          <w:b w:val="0"/>
        </w:rPr>
      </w:pPr>
    </w:p>
    <w:p w14:paraId="02CC3231" w14:textId="6EAE23E4" w:rsidR="00033923" w:rsidRDefault="00033923" w:rsidP="005A306A">
      <w:pPr>
        <w:spacing w:after="120" w:line="240" w:lineRule="auto"/>
        <w:rPr>
          <w:rFonts w:ascii="Calibri" w:hAnsi="Calibri"/>
          <w:b w:val="0"/>
        </w:rPr>
      </w:pPr>
    </w:p>
    <w:p w14:paraId="29A3D479" w14:textId="0D1AED11" w:rsidR="00033923" w:rsidRDefault="00033923" w:rsidP="005A306A">
      <w:pPr>
        <w:spacing w:after="120" w:line="240" w:lineRule="auto"/>
        <w:rPr>
          <w:rFonts w:ascii="Calibri" w:hAnsi="Calibri"/>
          <w:b w:val="0"/>
        </w:rPr>
      </w:pPr>
    </w:p>
    <w:p w14:paraId="5D05671C" w14:textId="33519762" w:rsidR="00033923" w:rsidRDefault="00033923" w:rsidP="005A306A">
      <w:pPr>
        <w:spacing w:after="120" w:line="240" w:lineRule="auto"/>
        <w:rPr>
          <w:rFonts w:ascii="Calibri" w:hAnsi="Calibri"/>
          <w:b w:val="0"/>
        </w:rPr>
      </w:pPr>
    </w:p>
    <w:p w14:paraId="5C2947E4" w14:textId="36B7E5FF" w:rsidR="00033923" w:rsidRDefault="00033923" w:rsidP="005A306A">
      <w:pPr>
        <w:spacing w:after="120" w:line="240" w:lineRule="auto"/>
        <w:rPr>
          <w:rFonts w:ascii="Calibri" w:hAnsi="Calibri"/>
          <w:b w:val="0"/>
        </w:rPr>
      </w:pPr>
    </w:p>
    <w:p w14:paraId="47FF3E41" w14:textId="26041C8E" w:rsidR="00033923" w:rsidRDefault="00033923" w:rsidP="005A306A">
      <w:pPr>
        <w:spacing w:after="120" w:line="240" w:lineRule="auto"/>
        <w:rPr>
          <w:rFonts w:ascii="Calibri" w:hAnsi="Calibri"/>
          <w:b w:val="0"/>
        </w:rPr>
      </w:pPr>
    </w:p>
    <w:p w14:paraId="06C83E5E" w14:textId="4B0D5A43" w:rsidR="00033923" w:rsidRDefault="00033923" w:rsidP="005A306A">
      <w:pPr>
        <w:spacing w:after="120" w:line="240" w:lineRule="auto"/>
        <w:rPr>
          <w:rFonts w:ascii="Calibri" w:hAnsi="Calibri"/>
          <w:b w:val="0"/>
        </w:rPr>
      </w:pPr>
    </w:p>
    <w:p w14:paraId="5A4CAC6E" w14:textId="4A7FEDF9" w:rsidR="00033923" w:rsidRDefault="00033923" w:rsidP="005A306A">
      <w:pPr>
        <w:spacing w:after="120" w:line="240" w:lineRule="auto"/>
        <w:rPr>
          <w:rFonts w:ascii="Calibri" w:hAnsi="Calibri"/>
          <w:b w:val="0"/>
        </w:rPr>
      </w:pPr>
    </w:p>
    <w:p w14:paraId="28D94685" w14:textId="327326B9" w:rsidR="00033923" w:rsidRDefault="00033923" w:rsidP="005A306A">
      <w:pPr>
        <w:spacing w:after="120" w:line="240" w:lineRule="auto"/>
        <w:rPr>
          <w:rFonts w:ascii="Calibri" w:hAnsi="Calibri"/>
          <w:b w:val="0"/>
        </w:rPr>
      </w:pPr>
    </w:p>
    <w:p w14:paraId="06A148D9" w14:textId="747464CD" w:rsidR="00033923" w:rsidRDefault="00033923" w:rsidP="005A306A">
      <w:pPr>
        <w:spacing w:after="120" w:line="240" w:lineRule="auto"/>
        <w:rPr>
          <w:rFonts w:ascii="Calibri" w:hAnsi="Calibri"/>
          <w:b w:val="0"/>
        </w:rPr>
      </w:pPr>
    </w:p>
    <w:p w14:paraId="304C009D" w14:textId="6EC04F7D" w:rsidR="00033923" w:rsidRDefault="00033923" w:rsidP="005A306A">
      <w:pPr>
        <w:spacing w:after="120" w:line="240" w:lineRule="auto"/>
        <w:rPr>
          <w:rFonts w:ascii="Calibri" w:hAnsi="Calibri"/>
          <w:b w:val="0"/>
        </w:rPr>
      </w:pPr>
    </w:p>
    <w:p w14:paraId="62B6610C" w14:textId="09B60645" w:rsidR="00033923" w:rsidRDefault="00033923" w:rsidP="005A306A">
      <w:pPr>
        <w:spacing w:after="120" w:line="240" w:lineRule="auto"/>
        <w:rPr>
          <w:rFonts w:ascii="Calibri" w:hAnsi="Calibri"/>
          <w:b w:val="0"/>
        </w:rPr>
      </w:pPr>
    </w:p>
    <w:p w14:paraId="271B30AD" w14:textId="59272BBF" w:rsidR="00033923" w:rsidRDefault="00033923" w:rsidP="005A306A">
      <w:pPr>
        <w:spacing w:after="120" w:line="240" w:lineRule="auto"/>
        <w:rPr>
          <w:rFonts w:ascii="Calibri" w:hAnsi="Calibri"/>
          <w:b w:val="0"/>
        </w:rPr>
      </w:pPr>
    </w:p>
    <w:p w14:paraId="4EC6227E" w14:textId="22260907" w:rsidR="00033923" w:rsidRDefault="00033923" w:rsidP="005A306A">
      <w:pPr>
        <w:spacing w:after="120" w:line="240" w:lineRule="auto"/>
        <w:rPr>
          <w:rFonts w:ascii="Calibri" w:hAnsi="Calibri"/>
          <w:b w:val="0"/>
        </w:rPr>
      </w:pPr>
    </w:p>
    <w:p w14:paraId="28350F6F" w14:textId="169DF084" w:rsidR="00033923" w:rsidRDefault="00033923" w:rsidP="005A306A">
      <w:pPr>
        <w:spacing w:after="120" w:line="240" w:lineRule="auto"/>
        <w:rPr>
          <w:rFonts w:ascii="Calibri" w:hAnsi="Calibri"/>
          <w:b w:val="0"/>
        </w:rPr>
      </w:pPr>
    </w:p>
    <w:p w14:paraId="4420AD9A" w14:textId="34B0C8E2" w:rsidR="00033923" w:rsidRDefault="00033923" w:rsidP="005A306A">
      <w:pPr>
        <w:spacing w:after="120" w:line="240" w:lineRule="auto"/>
        <w:rPr>
          <w:rFonts w:ascii="Calibri" w:hAnsi="Calibri"/>
          <w:b w:val="0"/>
        </w:rPr>
      </w:pPr>
    </w:p>
    <w:p w14:paraId="7D175B11" w14:textId="040D9AA2" w:rsidR="00033923" w:rsidRDefault="00033923" w:rsidP="005A306A">
      <w:pPr>
        <w:spacing w:after="120" w:line="240" w:lineRule="auto"/>
        <w:rPr>
          <w:rFonts w:ascii="Calibri" w:hAnsi="Calibri"/>
          <w:b w:val="0"/>
        </w:rPr>
      </w:pPr>
    </w:p>
    <w:tbl>
      <w:tblPr>
        <w:tblStyle w:val="TableGrid"/>
        <w:tblpPr w:leftFromText="180" w:rightFromText="180" w:vertAnchor="text" w:horzAnchor="margin" w:tblpXSpec="center" w:tblpY="21"/>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4"/>
        <w:gridCol w:w="5245"/>
        <w:gridCol w:w="709"/>
        <w:gridCol w:w="4677"/>
        <w:gridCol w:w="572"/>
      </w:tblGrid>
      <w:tr w:rsidR="003473D1" w:rsidRPr="00BA1CCD" w14:paraId="79341F1C" w14:textId="77777777" w:rsidTr="00CD311A">
        <w:trPr>
          <w:trHeight w:hRule="exact" w:val="851"/>
        </w:trPr>
        <w:tc>
          <w:tcPr>
            <w:tcW w:w="704" w:type="dxa"/>
          </w:tcPr>
          <w:p w14:paraId="08659805" w14:textId="77777777" w:rsidR="003473D1" w:rsidRPr="00BA1CCD" w:rsidRDefault="003473D1" w:rsidP="005A306A">
            <w:pPr>
              <w:spacing w:after="120" w:line="240" w:lineRule="auto"/>
              <w:rPr>
                <w:rFonts w:ascii="Khaitan" w:hAnsi="Khaitan"/>
                <w:b/>
              </w:rPr>
            </w:pPr>
          </w:p>
        </w:tc>
        <w:tc>
          <w:tcPr>
            <w:tcW w:w="10631" w:type="dxa"/>
            <w:gridSpan w:val="3"/>
            <w:vAlign w:val="center"/>
          </w:tcPr>
          <w:p w14:paraId="5058880A" w14:textId="68213385" w:rsidR="003473D1" w:rsidRPr="00A02636" w:rsidRDefault="000E52BC" w:rsidP="005A306A">
            <w:pPr>
              <w:spacing w:after="120" w:line="240" w:lineRule="auto"/>
              <w:rPr>
                <w:rFonts w:ascii="Khaitan" w:hAnsi="Khaitan"/>
                <w:b/>
                <w:sz w:val="24"/>
                <w:szCs w:val="24"/>
              </w:rPr>
            </w:pPr>
            <w:r>
              <w:rPr>
                <w:rFonts w:ascii="Khaitan" w:hAnsi="Khaitan"/>
                <w:b/>
                <w:sz w:val="24"/>
                <w:szCs w:val="24"/>
              </w:rPr>
              <w:t>22 May</w:t>
            </w:r>
            <w:r w:rsidR="002C1AD2">
              <w:rPr>
                <w:rFonts w:ascii="Khaitan" w:hAnsi="Khaitan"/>
                <w:b/>
                <w:sz w:val="24"/>
                <w:szCs w:val="24"/>
              </w:rPr>
              <w:t xml:space="preserve"> 2024</w:t>
            </w:r>
          </w:p>
        </w:tc>
        <w:tc>
          <w:tcPr>
            <w:tcW w:w="572" w:type="dxa"/>
          </w:tcPr>
          <w:p w14:paraId="6F67B914" w14:textId="77777777" w:rsidR="003473D1" w:rsidRPr="00BA1CCD" w:rsidRDefault="003473D1" w:rsidP="005A306A">
            <w:pPr>
              <w:spacing w:after="120" w:line="240" w:lineRule="auto"/>
              <w:rPr>
                <w:rFonts w:ascii="Khaitan" w:hAnsi="Khaitan"/>
                <w:b/>
              </w:rPr>
            </w:pPr>
          </w:p>
        </w:tc>
      </w:tr>
      <w:tr w:rsidR="00A02636" w:rsidRPr="00BA1CCD" w14:paraId="60391920" w14:textId="77777777" w:rsidTr="006B41D7">
        <w:trPr>
          <w:trHeight w:val="844"/>
        </w:trPr>
        <w:tc>
          <w:tcPr>
            <w:tcW w:w="704" w:type="dxa"/>
          </w:tcPr>
          <w:p w14:paraId="5F9A7646" w14:textId="77777777" w:rsidR="00A02636" w:rsidRPr="00BA1CCD" w:rsidRDefault="00A02636" w:rsidP="005A306A">
            <w:pPr>
              <w:spacing w:after="120" w:line="240" w:lineRule="auto"/>
              <w:rPr>
                <w:rFonts w:ascii="Khaitan" w:hAnsi="Khaitan"/>
                <w:b/>
              </w:rPr>
            </w:pPr>
          </w:p>
        </w:tc>
        <w:tc>
          <w:tcPr>
            <w:tcW w:w="10631" w:type="dxa"/>
            <w:gridSpan w:val="3"/>
          </w:tcPr>
          <w:p w14:paraId="33DEB2CD" w14:textId="62A17A71" w:rsidR="00A02636" w:rsidRPr="004D3357" w:rsidRDefault="00A02636" w:rsidP="005A306A">
            <w:pPr>
              <w:pStyle w:val="BasicParagraph"/>
              <w:suppressAutoHyphens/>
              <w:spacing w:after="240" w:line="240" w:lineRule="auto"/>
              <w:rPr>
                <w:rFonts w:ascii="Khaitan" w:hAnsi="Khaitan" w:cs="Gotham Book"/>
                <w:b w:val="0"/>
                <w:bCs/>
                <w:caps/>
                <w:color w:val="262626" w:themeColor="text1" w:themeTint="D9"/>
                <w:spacing w:val="13"/>
                <w:sz w:val="36"/>
                <w:szCs w:val="36"/>
              </w:rPr>
            </w:pPr>
          </w:p>
        </w:tc>
        <w:tc>
          <w:tcPr>
            <w:tcW w:w="572" w:type="dxa"/>
          </w:tcPr>
          <w:p w14:paraId="017E2AB5" w14:textId="77777777" w:rsidR="00A02636" w:rsidRPr="00BA1CCD" w:rsidRDefault="00A02636" w:rsidP="005A306A">
            <w:pPr>
              <w:spacing w:after="120" w:line="240" w:lineRule="auto"/>
              <w:rPr>
                <w:rFonts w:ascii="Khaitan" w:hAnsi="Khaitan"/>
                <w:b/>
              </w:rPr>
            </w:pPr>
          </w:p>
        </w:tc>
      </w:tr>
      <w:tr w:rsidR="00D25AFC" w:rsidRPr="00BA1CCD" w14:paraId="62EB3462" w14:textId="77777777" w:rsidTr="006B12C8">
        <w:tc>
          <w:tcPr>
            <w:tcW w:w="704" w:type="dxa"/>
          </w:tcPr>
          <w:p w14:paraId="0985C363" w14:textId="77777777" w:rsidR="00D25AFC" w:rsidRPr="00BA1CCD" w:rsidRDefault="00D25AFC" w:rsidP="005A306A">
            <w:pPr>
              <w:spacing w:after="120" w:line="240" w:lineRule="auto"/>
              <w:rPr>
                <w:rFonts w:ascii="Khaitan" w:hAnsi="Khaitan"/>
                <w:b/>
              </w:rPr>
            </w:pPr>
          </w:p>
        </w:tc>
        <w:tc>
          <w:tcPr>
            <w:tcW w:w="5245" w:type="dxa"/>
          </w:tcPr>
          <w:p w14:paraId="6BA554F9" w14:textId="77777777" w:rsidR="00D25AFC" w:rsidRPr="00BA1CCD" w:rsidRDefault="00D25AFC" w:rsidP="005A306A">
            <w:pPr>
              <w:spacing w:after="120" w:line="240" w:lineRule="auto"/>
              <w:rPr>
                <w:rFonts w:ascii="Khaitan" w:hAnsi="Khaitan"/>
                <w:b/>
              </w:rPr>
            </w:pPr>
          </w:p>
        </w:tc>
        <w:tc>
          <w:tcPr>
            <w:tcW w:w="709" w:type="dxa"/>
          </w:tcPr>
          <w:p w14:paraId="40B9D483" w14:textId="7964DA20" w:rsidR="00D25AFC" w:rsidRPr="00BA1CCD" w:rsidRDefault="00D25AFC" w:rsidP="005A306A">
            <w:pPr>
              <w:spacing w:after="120" w:line="240" w:lineRule="auto"/>
              <w:rPr>
                <w:rFonts w:ascii="Khaitan" w:hAnsi="Khaitan"/>
                <w:b/>
              </w:rPr>
            </w:pPr>
          </w:p>
        </w:tc>
        <w:tc>
          <w:tcPr>
            <w:tcW w:w="4677" w:type="dxa"/>
          </w:tcPr>
          <w:p w14:paraId="341A6967" w14:textId="1D9F0A8F" w:rsidR="00D25AFC" w:rsidRPr="008B6F5C" w:rsidRDefault="00D25AFC" w:rsidP="005A306A">
            <w:pPr>
              <w:pStyle w:val="BasicParagraph"/>
              <w:suppressAutoHyphens/>
              <w:spacing w:after="240" w:line="240" w:lineRule="auto"/>
              <w:rPr>
                <w:rFonts w:ascii="Khaitan" w:hAnsi="Khaitan"/>
                <w:b w:val="0"/>
                <w:bCs/>
                <w:color w:val="262626" w:themeColor="text1" w:themeTint="D9"/>
                <w:spacing w:val="20"/>
                <w:sz w:val="30"/>
                <w:szCs w:val="30"/>
              </w:rPr>
            </w:pPr>
          </w:p>
        </w:tc>
        <w:tc>
          <w:tcPr>
            <w:tcW w:w="572" w:type="dxa"/>
          </w:tcPr>
          <w:p w14:paraId="1D7C1646" w14:textId="77777777" w:rsidR="00D25AFC" w:rsidRDefault="00D25AFC" w:rsidP="005A306A">
            <w:pPr>
              <w:spacing w:after="120" w:line="240" w:lineRule="auto"/>
              <w:rPr>
                <w:rFonts w:ascii="Khaitan" w:hAnsi="Khaitan"/>
                <w:b/>
              </w:rPr>
            </w:pPr>
          </w:p>
          <w:p w14:paraId="744A56A7" w14:textId="2E96F877" w:rsidR="00D25AFC" w:rsidRPr="00BA1CCD" w:rsidRDefault="00D25AFC" w:rsidP="005A306A">
            <w:pPr>
              <w:spacing w:after="120" w:line="240" w:lineRule="auto"/>
              <w:rPr>
                <w:rFonts w:ascii="Khaitan" w:hAnsi="Khaitan"/>
                <w:b/>
              </w:rPr>
            </w:pPr>
          </w:p>
        </w:tc>
      </w:tr>
      <w:tr w:rsidR="004D3357" w:rsidRPr="00BA1CCD" w14:paraId="01C6B35C" w14:textId="77777777" w:rsidTr="00910224">
        <w:tc>
          <w:tcPr>
            <w:tcW w:w="704" w:type="dxa"/>
          </w:tcPr>
          <w:p w14:paraId="74458D35" w14:textId="77777777" w:rsidR="004D3357" w:rsidRPr="00BA1CCD" w:rsidRDefault="004D3357" w:rsidP="005A306A">
            <w:pPr>
              <w:spacing w:after="120" w:line="240" w:lineRule="auto"/>
              <w:rPr>
                <w:rFonts w:ascii="Khaitan" w:hAnsi="Khaitan"/>
                <w:b/>
              </w:rPr>
            </w:pPr>
          </w:p>
        </w:tc>
        <w:tc>
          <w:tcPr>
            <w:tcW w:w="10631" w:type="dxa"/>
            <w:gridSpan w:val="3"/>
          </w:tcPr>
          <w:p w14:paraId="4F963C85" w14:textId="3567013E" w:rsidR="004D3357" w:rsidRPr="000E52BC" w:rsidRDefault="000E52BC" w:rsidP="005A306A">
            <w:pPr>
              <w:pStyle w:val="BasicParagraph"/>
              <w:suppressAutoHyphens/>
              <w:spacing w:after="240" w:line="240" w:lineRule="auto"/>
              <w:rPr>
                <w:rFonts w:ascii="Khaitan" w:hAnsi="Khaitan"/>
                <w:sz w:val="36"/>
                <w:szCs w:val="36"/>
              </w:rPr>
            </w:pPr>
            <w:r w:rsidRPr="000E52BC">
              <w:rPr>
                <w:rFonts w:ascii="Khaitan" w:hAnsi="Khaitan"/>
                <w:sz w:val="36"/>
                <w:szCs w:val="36"/>
              </w:rPr>
              <w:t>LODR Amendment 2024: Industry-Cogni</w:t>
            </w:r>
            <w:r w:rsidR="006C4104">
              <w:rPr>
                <w:rFonts w:ascii="Khaitan" w:hAnsi="Khaitan"/>
                <w:sz w:val="36"/>
                <w:szCs w:val="36"/>
              </w:rPr>
              <w:t>z</w:t>
            </w:r>
            <w:r w:rsidRPr="000E52BC">
              <w:rPr>
                <w:rFonts w:ascii="Khaitan" w:hAnsi="Khaitan"/>
                <w:sz w:val="36"/>
                <w:szCs w:val="36"/>
              </w:rPr>
              <w:t>ant Approach to Disclosure and Governance</w:t>
            </w:r>
          </w:p>
        </w:tc>
        <w:tc>
          <w:tcPr>
            <w:tcW w:w="572" w:type="dxa"/>
          </w:tcPr>
          <w:p w14:paraId="519CA730" w14:textId="77777777" w:rsidR="004D3357" w:rsidRPr="00BA1CCD" w:rsidRDefault="004D3357" w:rsidP="005A306A">
            <w:pPr>
              <w:spacing w:after="120" w:line="240" w:lineRule="auto"/>
              <w:rPr>
                <w:rFonts w:ascii="Khaitan" w:hAnsi="Khaitan"/>
                <w:b/>
              </w:rPr>
            </w:pPr>
          </w:p>
        </w:tc>
      </w:tr>
      <w:tr w:rsidR="00D25AFC" w:rsidRPr="00BA1CCD" w14:paraId="47926D68" w14:textId="77777777" w:rsidTr="006B12C8">
        <w:tc>
          <w:tcPr>
            <w:tcW w:w="704" w:type="dxa"/>
          </w:tcPr>
          <w:p w14:paraId="3EDB7882" w14:textId="77777777" w:rsidR="00D25AFC" w:rsidRPr="00BA1CCD" w:rsidRDefault="00D25AFC" w:rsidP="005A306A">
            <w:pPr>
              <w:spacing w:after="120" w:line="240" w:lineRule="auto"/>
              <w:rPr>
                <w:rFonts w:ascii="Khaitan" w:hAnsi="Khaitan"/>
                <w:b/>
              </w:rPr>
            </w:pPr>
          </w:p>
        </w:tc>
        <w:tc>
          <w:tcPr>
            <w:tcW w:w="5245" w:type="dxa"/>
          </w:tcPr>
          <w:p w14:paraId="04AAF3E4" w14:textId="77777777" w:rsidR="00D25AFC" w:rsidRPr="00BA1CCD" w:rsidRDefault="00D25AFC" w:rsidP="005A306A">
            <w:pPr>
              <w:spacing w:after="120" w:line="240" w:lineRule="auto"/>
              <w:rPr>
                <w:rFonts w:ascii="Khaitan" w:hAnsi="Khaitan"/>
                <w:b/>
              </w:rPr>
            </w:pPr>
          </w:p>
        </w:tc>
        <w:tc>
          <w:tcPr>
            <w:tcW w:w="709" w:type="dxa"/>
          </w:tcPr>
          <w:p w14:paraId="2D5B2215" w14:textId="68FE0861" w:rsidR="00D25AFC" w:rsidRPr="00BA1CCD" w:rsidRDefault="00D25AFC" w:rsidP="005A306A">
            <w:pPr>
              <w:spacing w:after="120" w:line="240" w:lineRule="auto"/>
              <w:rPr>
                <w:rFonts w:ascii="Khaitan" w:hAnsi="Khaitan"/>
                <w:b/>
              </w:rPr>
            </w:pPr>
          </w:p>
        </w:tc>
        <w:tc>
          <w:tcPr>
            <w:tcW w:w="4677" w:type="dxa"/>
          </w:tcPr>
          <w:p w14:paraId="1C375892" w14:textId="03FF020B" w:rsidR="00D25AFC" w:rsidRPr="00780D93" w:rsidRDefault="00D25AFC" w:rsidP="005A306A">
            <w:pPr>
              <w:pStyle w:val="BasicParagraph"/>
              <w:suppressAutoHyphens/>
              <w:spacing w:after="240" w:line="240" w:lineRule="auto"/>
              <w:rPr>
                <w:rFonts w:ascii="Khaitan" w:hAnsi="Khaitan" w:cs="Gotham Book"/>
                <w:b w:val="0"/>
                <w:bCs/>
                <w:caps/>
                <w:color w:val="262626" w:themeColor="text1" w:themeTint="D9"/>
                <w:spacing w:val="13"/>
                <w:sz w:val="26"/>
                <w:szCs w:val="26"/>
              </w:rPr>
            </w:pPr>
          </w:p>
        </w:tc>
        <w:tc>
          <w:tcPr>
            <w:tcW w:w="572" w:type="dxa"/>
          </w:tcPr>
          <w:p w14:paraId="124DA3D2" w14:textId="77777777" w:rsidR="00D25AFC" w:rsidRPr="00BA1CCD" w:rsidRDefault="00D25AFC" w:rsidP="005A306A">
            <w:pPr>
              <w:spacing w:after="120" w:line="240" w:lineRule="auto"/>
              <w:rPr>
                <w:rFonts w:ascii="Khaitan" w:hAnsi="Khaitan"/>
                <w:b/>
              </w:rPr>
            </w:pPr>
          </w:p>
        </w:tc>
      </w:tr>
      <w:tr w:rsidR="00D25AFC" w:rsidRPr="00BA1CCD" w14:paraId="5EB48351" w14:textId="77777777" w:rsidTr="006B12C8">
        <w:tc>
          <w:tcPr>
            <w:tcW w:w="704" w:type="dxa"/>
          </w:tcPr>
          <w:p w14:paraId="577BF882" w14:textId="77777777" w:rsidR="00D25AFC" w:rsidRPr="00BA1CCD" w:rsidRDefault="00D25AFC" w:rsidP="005A306A">
            <w:pPr>
              <w:spacing w:after="120" w:line="240" w:lineRule="auto"/>
              <w:rPr>
                <w:rFonts w:ascii="Khaitan" w:hAnsi="Khaitan"/>
                <w:b/>
              </w:rPr>
            </w:pPr>
          </w:p>
        </w:tc>
        <w:tc>
          <w:tcPr>
            <w:tcW w:w="5245" w:type="dxa"/>
          </w:tcPr>
          <w:p w14:paraId="49F9893D" w14:textId="77777777" w:rsidR="00D25AFC" w:rsidRPr="00BA1CCD" w:rsidRDefault="00D25AFC" w:rsidP="005A306A">
            <w:pPr>
              <w:spacing w:after="120" w:line="240" w:lineRule="auto"/>
              <w:rPr>
                <w:rFonts w:ascii="Khaitan" w:hAnsi="Khaitan"/>
                <w:b/>
              </w:rPr>
            </w:pPr>
          </w:p>
        </w:tc>
        <w:tc>
          <w:tcPr>
            <w:tcW w:w="709" w:type="dxa"/>
          </w:tcPr>
          <w:p w14:paraId="0512C63A" w14:textId="77777777" w:rsidR="00D25AFC" w:rsidRPr="00BA1CCD" w:rsidRDefault="00D25AFC" w:rsidP="005A306A">
            <w:pPr>
              <w:spacing w:after="120" w:line="240" w:lineRule="auto"/>
              <w:rPr>
                <w:rFonts w:ascii="Khaitan" w:hAnsi="Khaitan"/>
                <w:b/>
              </w:rPr>
            </w:pPr>
          </w:p>
        </w:tc>
        <w:tc>
          <w:tcPr>
            <w:tcW w:w="4677" w:type="dxa"/>
          </w:tcPr>
          <w:p w14:paraId="3C4B431D" w14:textId="77777777" w:rsidR="00D25AFC" w:rsidRPr="00BA1CCD" w:rsidRDefault="00D25AFC" w:rsidP="005A306A">
            <w:pPr>
              <w:spacing w:after="120" w:line="240" w:lineRule="auto"/>
              <w:rPr>
                <w:rFonts w:ascii="Khaitan" w:hAnsi="Khaitan"/>
                <w:b/>
              </w:rPr>
            </w:pPr>
          </w:p>
        </w:tc>
        <w:tc>
          <w:tcPr>
            <w:tcW w:w="572" w:type="dxa"/>
          </w:tcPr>
          <w:p w14:paraId="2E5A712C" w14:textId="77777777" w:rsidR="00D25AFC" w:rsidRPr="00BA1CCD" w:rsidRDefault="00D25AFC" w:rsidP="005A306A">
            <w:pPr>
              <w:spacing w:after="120" w:line="240" w:lineRule="auto"/>
              <w:rPr>
                <w:rFonts w:ascii="Khaitan" w:hAnsi="Khaitan"/>
                <w:b/>
              </w:rPr>
            </w:pPr>
          </w:p>
        </w:tc>
      </w:tr>
    </w:tbl>
    <w:p w14:paraId="2BD4BA2D" w14:textId="77777777" w:rsidR="00295503" w:rsidRDefault="00295503" w:rsidP="005A306A">
      <w:pPr>
        <w:spacing w:after="120" w:line="240" w:lineRule="auto"/>
        <w:rPr>
          <w:rFonts w:ascii="Calibri" w:hAnsi="Calibri"/>
          <w:b w:val="0"/>
        </w:rPr>
        <w:sectPr w:rsidR="00295503" w:rsidSect="009D40EB">
          <w:headerReference w:type="default" r:id="rId10"/>
          <w:footerReference w:type="default" r:id="rId11"/>
          <w:headerReference w:type="first" r:id="rId12"/>
          <w:footerReference w:type="first" r:id="rId13"/>
          <w:type w:val="continuous"/>
          <w:pgSz w:w="11909" w:h="16834" w:code="9"/>
          <w:pgMar w:top="562" w:right="562" w:bottom="562" w:left="562" w:header="562" w:footer="562" w:gutter="0"/>
          <w:pgNumType w:start="1"/>
          <w:cols w:space="708"/>
          <w:titlePg/>
          <w:docGrid w:linePitch="360"/>
        </w:sectPr>
      </w:pPr>
    </w:p>
    <w:p w14:paraId="2D793875" w14:textId="77777777" w:rsidR="00F26742" w:rsidRDefault="00F26742" w:rsidP="00600DA0">
      <w:pPr>
        <w:pStyle w:val="ListParagraph"/>
        <w:spacing w:before="120" w:after="240" w:line="240" w:lineRule="auto"/>
        <w:ind w:left="0"/>
        <w:contextualSpacing w:val="0"/>
        <w:jc w:val="both"/>
        <w:rPr>
          <w:rFonts w:ascii="Khaitan" w:eastAsia="Cambria" w:hAnsi="Khaitan"/>
          <w:b w:val="0"/>
          <w:bCs/>
          <w:color w:val="000000" w:themeColor="text1"/>
        </w:rPr>
        <w:sectPr w:rsidR="00F26742" w:rsidSect="002F32FE">
          <w:headerReference w:type="first" r:id="rId14"/>
          <w:footerReference w:type="first" r:id="rId15"/>
          <w:pgSz w:w="11900" w:h="16840" w:code="9"/>
          <w:pgMar w:top="1138" w:right="720" w:bottom="850" w:left="562" w:header="562" w:footer="288" w:gutter="0"/>
          <w:pgNumType w:start="2"/>
          <w:cols w:space="720"/>
          <w:docGrid w:linePitch="360"/>
        </w:sectPr>
      </w:pPr>
      <w:bookmarkStart w:id="1" w:name="_Toc70586030"/>
    </w:p>
    <w:p w14:paraId="46F43A97" w14:textId="77777777" w:rsidR="004E24A4" w:rsidRPr="004E24A4" w:rsidRDefault="004E24A4" w:rsidP="00600DA0">
      <w:pPr>
        <w:pStyle w:val="Heading1"/>
        <w:spacing w:before="120" w:after="240" w:line="240" w:lineRule="auto"/>
        <w:jc w:val="both"/>
        <w:rPr>
          <w:sz w:val="22"/>
        </w:rPr>
      </w:pPr>
      <w:r w:rsidRPr="00887CAB">
        <w:t>Introduction</w:t>
      </w:r>
    </w:p>
    <w:p w14:paraId="5EB33E6F" w14:textId="505421C4" w:rsidR="00600DA0" w:rsidRPr="00600DA0" w:rsidRDefault="00600DA0" w:rsidP="00600DA0">
      <w:pPr>
        <w:tabs>
          <w:tab w:val="center" w:pos="4513"/>
          <w:tab w:val="right" w:pos="9026"/>
        </w:tabs>
        <w:spacing w:before="120" w:after="240" w:line="240" w:lineRule="auto"/>
        <w:jc w:val="both"/>
        <w:rPr>
          <w:rFonts w:ascii="Khaitan" w:hAnsi="Khaitan"/>
          <w:b w:val="0"/>
        </w:rPr>
      </w:pPr>
      <w:r w:rsidRPr="00600DA0">
        <w:rPr>
          <w:rFonts w:ascii="Khaitan" w:hAnsi="Khaitan" w:cstheme="majorHAnsi"/>
          <w:b w:val="0"/>
          <w:lang w:val="en-GB"/>
        </w:rPr>
        <w:t xml:space="preserve">The Securities and Exchange Board of India (SEBI) recently amended the </w:t>
      </w:r>
      <w:hyperlink r:id="rId16" w:history="1">
        <w:r w:rsidRPr="00600DA0">
          <w:rPr>
            <w:rStyle w:val="Hyperlink"/>
            <w:rFonts w:ascii="Khaitan" w:hAnsi="Khaitan" w:cstheme="majorHAnsi"/>
            <w:b w:val="0"/>
            <w:lang w:val="en-GB"/>
          </w:rPr>
          <w:t>SEBI (Listing Obligations and Disclosure Requirements) Regulations, 2015</w:t>
        </w:r>
      </w:hyperlink>
      <w:r w:rsidRPr="00600DA0">
        <w:rPr>
          <w:rFonts w:ascii="Khaitan" w:hAnsi="Khaitan" w:cstheme="majorHAnsi"/>
          <w:b w:val="0"/>
          <w:lang w:val="en-GB"/>
        </w:rPr>
        <w:t xml:space="preserve"> (LODR) by way of SEBI (Listing Obligations and Disclosure Requirements) (Amendment) Regulations, 2024 (LODR Amendment) dated 17 May 2024. </w:t>
      </w:r>
    </w:p>
    <w:p w14:paraId="1D6F19D8" w14:textId="77777777" w:rsidR="00600DA0" w:rsidRPr="00600DA0" w:rsidRDefault="00600DA0" w:rsidP="00600DA0">
      <w:pPr>
        <w:spacing w:before="120" w:after="240" w:line="240" w:lineRule="exact"/>
        <w:jc w:val="both"/>
        <w:rPr>
          <w:rFonts w:ascii="Khaitan" w:hAnsi="Khaitan" w:cstheme="majorHAnsi"/>
          <w:b w:val="0"/>
          <w:lang w:val="en-GB"/>
        </w:rPr>
      </w:pPr>
      <w:r w:rsidRPr="00600DA0">
        <w:rPr>
          <w:rFonts w:ascii="Khaitan" w:hAnsi="Khaitan" w:cstheme="majorHAnsi"/>
          <w:b w:val="0"/>
          <w:lang w:val="en-GB"/>
        </w:rPr>
        <w:t xml:space="preserve">Post major amendments to the LODR last year, by way of SEBI (Listing Obligations and Disclosure Requirements) (Second Amendment) Regulations, 2023 (2023 Amendment) (discussed </w:t>
      </w:r>
      <w:hyperlink r:id="rId17" w:history="1">
        <w:r w:rsidRPr="00600DA0">
          <w:rPr>
            <w:rStyle w:val="Hyperlink"/>
            <w:rFonts w:ascii="Khaitan" w:hAnsi="Khaitan" w:cstheme="majorHAnsi"/>
            <w:b w:val="0"/>
            <w:lang w:val="en-GB"/>
          </w:rPr>
          <w:t>here</w:t>
        </w:r>
      </w:hyperlink>
      <w:r w:rsidRPr="00600DA0">
        <w:rPr>
          <w:rFonts w:ascii="Khaitan" w:hAnsi="Khaitan" w:cstheme="majorHAnsi"/>
          <w:b w:val="0"/>
          <w:lang w:val="en-GB"/>
        </w:rPr>
        <w:t xml:space="preserve"> and </w:t>
      </w:r>
      <w:hyperlink r:id="rId18" w:history="1">
        <w:r w:rsidRPr="00600DA0">
          <w:rPr>
            <w:rStyle w:val="Hyperlink"/>
            <w:rFonts w:ascii="Khaitan" w:hAnsi="Khaitan" w:cstheme="majorHAnsi"/>
            <w:b w:val="0"/>
            <w:lang w:val="en-GB"/>
          </w:rPr>
          <w:t>here</w:t>
        </w:r>
      </w:hyperlink>
      <w:r w:rsidRPr="00600DA0">
        <w:rPr>
          <w:rFonts w:ascii="Khaitan" w:hAnsi="Khaitan" w:cstheme="majorHAnsi"/>
          <w:b w:val="0"/>
          <w:lang w:val="en-GB"/>
        </w:rPr>
        <w:t>), in order to facilitate capital formation and ease of doing business, at the behest of SEBI, 3 industry associations, namely, ASSOCHAM, CII and FICCI, came together to form Industry Standards Forum</w:t>
      </w:r>
      <w:r w:rsidRPr="00600DA0">
        <w:rPr>
          <w:rStyle w:val="FootnoteReference"/>
          <w:rFonts w:ascii="Khaitan" w:hAnsi="Khaitan" w:cstheme="majorHAnsi"/>
          <w:b w:val="0"/>
          <w:sz w:val="22"/>
          <w:lang w:val="en-GB"/>
        </w:rPr>
        <w:footnoteReference w:id="1"/>
      </w:r>
      <w:r w:rsidRPr="00600DA0">
        <w:rPr>
          <w:rFonts w:ascii="Khaitan" w:hAnsi="Khaitan" w:cstheme="majorHAnsi"/>
          <w:b w:val="0"/>
          <w:lang w:val="en-GB"/>
        </w:rPr>
        <w:t xml:space="preserve"> (ISF) under the aegis of the stock exchanges to set industry standards. Further, considering the Finance Minister’s pledge to “simplify, ease and reduce the cost of compliance” in the Union Budget for the financial year 2023-24, SEBI constituted an ‘expert committee for facilitating ease of doing business and harmonization of the provisions of the ICDR and LODR Regulations’ (Expert Committee).</w:t>
      </w:r>
    </w:p>
    <w:p w14:paraId="4A3F2E10" w14:textId="77777777" w:rsidR="00600DA0" w:rsidRPr="00600DA0" w:rsidRDefault="00600DA0" w:rsidP="00600DA0">
      <w:pPr>
        <w:spacing w:before="120" w:after="240" w:line="240" w:lineRule="exact"/>
        <w:jc w:val="both"/>
        <w:rPr>
          <w:rFonts w:ascii="Khaitan" w:hAnsi="Khaitan" w:cstheme="majorHAnsi"/>
          <w:b w:val="0"/>
          <w:lang w:val="en-GB"/>
        </w:rPr>
      </w:pPr>
      <w:r w:rsidRPr="00600DA0">
        <w:rPr>
          <w:rFonts w:ascii="Khaitan" w:hAnsi="Khaitan" w:cstheme="majorHAnsi"/>
          <w:b w:val="0"/>
          <w:lang w:val="en-GB"/>
        </w:rPr>
        <w:t xml:space="preserve">The latest LODR Amendment has its foundations in the </w:t>
      </w:r>
      <w:hyperlink r:id="rId19" w:history="1">
        <w:r w:rsidRPr="00600DA0">
          <w:rPr>
            <w:rStyle w:val="Hyperlink"/>
            <w:rFonts w:ascii="Khaitan" w:hAnsi="Khaitan" w:cstheme="majorHAnsi"/>
            <w:b w:val="0"/>
            <w:lang w:val="en-GB"/>
          </w:rPr>
          <w:t>consultation paper on ‘Interim Recommendations of the Expert Committee for facilitating ease of doing business and harmonization of the provisions of ICDR and LODR Regulations’</w:t>
        </w:r>
      </w:hyperlink>
      <w:r w:rsidRPr="00600DA0">
        <w:rPr>
          <w:rFonts w:ascii="Khaitan" w:hAnsi="Khaitan" w:cstheme="majorHAnsi"/>
          <w:b w:val="0"/>
          <w:lang w:val="en-GB"/>
        </w:rPr>
        <w:t xml:space="preserve"> dated 11 January 2024 (EODB Consultation Paper) as well as </w:t>
      </w:r>
      <w:hyperlink r:id="rId20" w:history="1">
        <w:r w:rsidRPr="00600DA0">
          <w:rPr>
            <w:rStyle w:val="Hyperlink"/>
            <w:rFonts w:ascii="Khaitan" w:hAnsi="Khaitan" w:cstheme="majorHAnsi"/>
            <w:b w:val="0"/>
            <w:lang w:val="en-GB"/>
          </w:rPr>
          <w:t>consultation paper on ‘Amendments to SEBI Regulations with respect to Verification of Market Rumours’</w:t>
        </w:r>
      </w:hyperlink>
      <w:r w:rsidRPr="00600DA0">
        <w:rPr>
          <w:rFonts w:ascii="Khaitan" w:hAnsi="Khaitan" w:cstheme="majorHAnsi"/>
          <w:b w:val="0"/>
          <w:lang w:val="en-GB"/>
        </w:rPr>
        <w:t xml:space="preserve"> dated 28 December 2023 (RVR Consultation Paper) based on inputs from ISF.</w:t>
      </w:r>
    </w:p>
    <w:p w14:paraId="74D6F74C" w14:textId="77777777" w:rsidR="00600DA0" w:rsidRPr="00600DA0" w:rsidRDefault="00600DA0" w:rsidP="00600DA0">
      <w:pPr>
        <w:spacing w:before="120" w:after="240" w:line="240" w:lineRule="exact"/>
        <w:jc w:val="both"/>
        <w:rPr>
          <w:rFonts w:ascii="Khaitan" w:hAnsi="Khaitan" w:cstheme="majorHAnsi"/>
          <w:b w:val="0"/>
          <w:lang w:val="en-GB"/>
        </w:rPr>
      </w:pPr>
      <w:r w:rsidRPr="00600DA0">
        <w:rPr>
          <w:rFonts w:ascii="Khaitan" w:hAnsi="Khaitan" w:cstheme="majorHAnsi"/>
          <w:b w:val="0"/>
          <w:lang w:val="en-GB"/>
        </w:rPr>
        <w:t>The LODR Amendment is effective immediately from the date of publication (i.e., 17 May 2024), with an exception for some amendments that come into force from 31 December 2024.</w:t>
      </w:r>
    </w:p>
    <w:p w14:paraId="75DA167E" w14:textId="1A31CB7C" w:rsidR="00600DA0" w:rsidRPr="00600DA0" w:rsidRDefault="00600DA0" w:rsidP="00600DA0">
      <w:pPr>
        <w:spacing w:before="120" w:after="240" w:line="240" w:lineRule="exact"/>
        <w:jc w:val="both"/>
        <w:rPr>
          <w:rFonts w:ascii="Khaitan" w:hAnsi="Khaitan" w:cstheme="majorHAnsi"/>
          <w:b w:val="0"/>
          <w:lang w:val="en-GB"/>
        </w:rPr>
      </w:pPr>
      <w:r w:rsidRPr="00600DA0">
        <w:rPr>
          <w:rFonts w:ascii="Khaitan" w:hAnsi="Khaitan" w:cstheme="majorHAnsi"/>
          <w:b w:val="0"/>
          <w:lang w:val="en-GB"/>
        </w:rPr>
        <w:t>The key changes brought about by the LODR Amendment can be placed in three broad categories: (a) amendments pertaining to market rumour verification; (b) amendments pertaining to market capitalisation computation; and (c) other governance</w:t>
      </w:r>
      <w:r w:rsidR="006C4104">
        <w:rPr>
          <w:rFonts w:ascii="Khaitan" w:hAnsi="Khaitan" w:cstheme="majorHAnsi"/>
          <w:b w:val="0"/>
          <w:lang w:val="en-GB"/>
        </w:rPr>
        <w:t xml:space="preserve"> and disclosure </w:t>
      </w:r>
      <w:r w:rsidRPr="00600DA0">
        <w:rPr>
          <w:rFonts w:ascii="Khaitan" w:hAnsi="Khaitan" w:cstheme="majorHAnsi"/>
          <w:b w:val="0"/>
          <w:lang w:val="en-GB"/>
        </w:rPr>
        <w:t>based amendments. The same have been detailed below.</w:t>
      </w:r>
    </w:p>
    <w:p w14:paraId="4A9DD197" w14:textId="77777777" w:rsidR="00600DA0" w:rsidRPr="00600DA0" w:rsidRDefault="00600DA0" w:rsidP="00600DA0">
      <w:pPr>
        <w:pStyle w:val="ListParagraph"/>
        <w:numPr>
          <w:ilvl w:val="0"/>
          <w:numId w:val="47"/>
        </w:numPr>
        <w:spacing w:before="120" w:after="240" w:line="240" w:lineRule="exact"/>
        <w:ind w:left="357" w:hanging="357"/>
        <w:contextualSpacing w:val="0"/>
        <w:jc w:val="both"/>
        <w:rPr>
          <w:rFonts w:ascii="Khaitan" w:hAnsi="Khaitan" w:cs="Gotham Book"/>
          <w:b w:val="0"/>
          <w:caps/>
          <w:color w:val="E8425C"/>
          <w:sz w:val="26"/>
          <w:szCs w:val="26"/>
          <w:lang w:val="en-GB"/>
        </w:rPr>
      </w:pPr>
      <w:r w:rsidRPr="00600DA0">
        <w:rPr>
          <w:rFonts w:ascii="Khaitan" w:hAnsi="Khaitan" w:cs="Gotham Book"/>
          <w:b w:val="0"/>
          <w:caps/>
          <w:color w:val="E8425C"/>
          <w:sz w:val="26"/>
          <w:szCs w:val="26"/>
          <w:lang w:val="en-GB"/>
        </w:rPr>
        <w:t>Amendment pertaining to market rumour verification requirement</w:t>
      </w:r>
    </w:p>
    <w:p w14:paraId="237E6466" w14:textId="4836F50D" w:rsidR="00600DA0" w:rsidRPr="00600DA0" w:rsidRDefault="00600DA0" w:rsidP="00600DA0">
      <w:pPr>
        <w:pStyle w:val="ListParagraph"/>
        <w:numPr>
          <w:ilvl w:val="0"/>
          <w:numId w:val="46"/>
        </w:numPr>
        <w:spacing w:before="120" w:after="240" w:line="240" w:lineRule="exact"/>
        <w:jc w:val="both"/>
        <w:rPr>
          <w:rFonts w:ascii="Khaitan" w:hAnsi="Khaitan" w:cstheme="majorHAnsi"/>
          <w:b w:val="0"/>
          <w:lang w:val="en-GB"/>
        </w:rPr>
      </w:pPr>
      <w:r w:rsidRPr="002F5089">
        <w:rPr>
          <w:rFonts w:ascii="Khaitan" w:hAnsi="Khaitan" w:cs="Gotham Light"/>
          <w:b w:val="0"/>
          <w:color w:val="0075BE"/>
          <w:lang w:val="en-GB"/>
        </w:rPr>
        <w:t xml:space="preserve">Clarifications on market </w:t>
      </w:r>
      <w:r w:rsidR="006C4104">
        <w:rPr>
          <w:rFonts w:ascii="Khaitan" w:hAnsi="Khaitan" w:cs="Gotham Light"/>
          <w:b w:val="0"/>
          <w:color w:val="0075BE"/>
          <w:lang w:val="en-GB"/>
        </w:rPr>
        <w:t>rumour verification requirement</w:t>
      </w:r>
      <w:r w:rsidRPr="00600DA0">
        <w:rPr>
          <w:rFonts w:ascii="Khaitan" w:hAnsi="Khaitan" w:cstheme="majorHAnsi"/>
          <w:b w:val="0"/>
          <w:lang w:val="en-GB"/>
        </w:rPr>
        <w:t xml:space="preserve">: </w:t>
      </w:r>
      <w:r w:rsidR="00DF132A">
        <w:rPr>
          <w:rFonts w:ascii="Khaitan" w:hAnsi="Khaitan" w:cstheme="majorHAnsi"/>
          <w:b w:val="0"/>
          <w:lang w:val="en-GB"/>
        </w:rPr>
        <w:tab/>
      </w:r>
      <w:r w:rsidR="00DF132A">
        <w:rPr>
          <w:rFonts w:ascii="Khaitan" w:hAnsi="Khaitan" w:cstheme="majorHAnsi"/>
          <w:b w:val="0"/>
          <w:lang w:val="en-GB"/>
        </w:rPr>
        <w:br/>
      </w:r>
      <w:r w:rsidR="00DF132A">
        <w:rPr>
          <w:rFonts w:ascii="Khaitan" w:hAnsi="Khaitan" w:cstheme="majorHAnsi"/>
          <w:b w:val="0"/>
          <w:lang w:val="en-GB"/>
        </w:rPr>
        <w:br/>
      </w:r>
      <w:r w:rsidRPr="00600DA0">
        <w:rPr>
          <w:rFonts w:ascii="Khaitan" w:hAnsi="Khaitan" w:cstheme="majorHAnsi"/>
          <w:b w:val="0"/>
          <w:lang w:val="en-GB"/>
        </w:rPr>
        <w:t xml:space="preserve">The market rumour verification requirement (RVR) was brought by way of amendment last year. Based on representations from the industry, SEBI had deferred its implementation to 1 June 2024 for the top 100 listed entities and to 1 December 2024 for the listed entities ranked between 101 and 250. RVR in its pre-LODR Amendment avatar, mandated the listed entities to: (a) on its own, identify market rumour pertaining to it, which are not in general nature, and reported in the mainstream media; and (b) confirm, deny, or clarify the content of such rumour. </w:t>
      </w:r>
    </w:p>
    <w:p w14:paraId="42DE6F07"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p>
    <w:p w14:paraId="6A562E71" w14:textId="77777777" w:rsidR="00600DA0" w:rsidRPr="00600DA0" w:rsidRDefault="00600DA0" w:rsidP="00600DA0">
      <w:pPr>
        <w:pStyle w:val="ListParagraph"/>
        <w:spacing w:before="120" w:after="240" w:line="240" w:lineRule="exact"/>
        <w:ind w:left="357"/>
        <w:contextualSpacing w:val="0"/>
        <w:jc w:val="both"/>
        <w:rPr>
          <w:rFonts w:ascii="Khaitan" w:hAnsi="Khaitan" w:cstheme="majorHAnsi"/>
          <w:b w:val="0"/>
          <w:lang w:val="en-GB"/>
        </w:rPr>
      </w:pPr>
      <w:r w:rsidRPr="00600DA0">
        <w:rPr>
          <w:rFonts w:ascii="Khaitan" w:hAnsi="Khaitan" w:cstheme="majorHAnsi"/>
          <w:b w:val="0"/>
          <w:lang w:val="en-GB"/>
        </w:rPr>
        <w:t>The key concerns with erstwhile RVR provision were threefold: (a) impact on price post confirmation of RVR which could impact deal dynamics, wherever the market price is used to calculate floor price, such as preferential allotment and open offer, etc.; (b) from deal-making perspective, lack of clarity on stage at which rumour with respect to transaction needs to be verified; and (c) very broad definition of mainstream media, which purportedly included 20,278 registered dailies and 543 tri/bi-weeklies in 2021-22,</w:t>
      </w:r>
      <w:r w:rsidRPr="00600DA0">
        <w:rPr>
          <w:rStyle w:val="FootnoteReference"/>
          <w:rFonts w:ascii="Khaitan" w:hAnsi="Khaitan" w:cstheme="majorHAnsi"/>
          <w:b w:val="0"/>
          <w:sz w:val="22"/>
          <w:lang w:val="en-GB"/>
        </w:rPr>
        <w:footnoteReference w:id="2"/>
      </w:r>
      <w:r w:rsidRPr="00600DA0">
        <w:rPr>
          <w:rFonts w:ascii="Khaitan" w:hAnsi="Khaitan" w:cstheme="majorHAnsi"/>
          <w:b w:val="0"/>
          <w:lang w:val="en-GB"/>
        </w:rPr>
        <w:t xml:space="preserve"> and reportedly, more than 390 news channels permitted by Ministry of Information and Broadcasting. </w:t>
      </w:r>
    </w:p>
    <w:p w14:paraId="07408929"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r w:rsidRPr="00600DA0">
        <w:rPr>
          <w:rFonts w:ascii="Khaitan" w:hAnsi="Khaitan" w:cstheme="majorHAnsi"/>
          <w:b w:val="0"/>
          <w:lang w:val="en-GB"/>
        </w:rPr>
        <w:t xml:space="preserve">ISF took up the rumour verification requirement as one of the pilot projects for formulating standards for effective implementation of the said requirement, in consultation with SEBI. The LODR Amendment echoes India Inc representation through ISF on the need to ringfence RVR by limiting the scope thereof. </w:t>
      </w:r>
    </w:p>
    <w:p w14:paraId="51DA90C8"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p>
    <w:p w14:paraId="48F12CE9"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r w:rsidRPr="00600DA0">
        <w:rPr>
          <w:rFonts w:ascii="Khaitan" w:hAnsi="Khaitan" w:cstheme="majorHAnsi"/>
          <w:b w:val="0"/>
          <w:lang w:val="en-GB"/>
        </w:rPr>
        <w:t xml:space="preserve">To address the first two concerns, the LODR Amendment linked RVR with material price movement (MPM), which would be </w:t>
      </w:r>
      <w:hyperlink r:id="rId21" w:history="1">
        <w:r w:rsidRPr="00600DA0">
          <w:rPr>
            <w:rStyle w:val="Hyperlink"/>
            <w:rFonts w:ascii="Khaitan" w:hAnsi="Khaitan" w:cstheme="majorHAnsi"/>
            <w:b w:val="0"/>
            <w:lang w:val="en-GB"/>
          </w:rPr>
          <w:t>specified by the stock exchanges</w:t>
        </w:r>
      </w:hyperlink>
      <w:r w:rsidRPr="00600DA0">
        <w:rPr>
          <w:rFonts w:ascii="Khaitan" w:hAnsi="Khaitan" w:cstheme="majorHAnsi"/>
          <w:b w:val="0"/>
          <w:lang w:val="en-GB"/>
        </w:rPr>
        <w:t xml:space="preserve">. Further, the LODR Amendment provided that the method of calculation of unaffected price shall be as per the framework specified by SEBI. SEBI’s </w:t>
      </w:r>
      <w:hyperlink r:id="rId22" w:history="1">
        <w:r w:rsidRPr="00600DA0">
          <w:rPr>
            <w:rStyle w:val="Hyperlink"/>
            <w:rFonts w:ascii="Khaitan" w:hAnsi="Khaitan" w:cstheme="majorHAnsi"/>
            <w:b w:val="0"/>
            <w:lang w:val="en-GB"/>
          </w:rPr>
          <w:t>circular titled ‘Framework for considering unaffected price for transactions upon confirmation of market rumour’</w:t>
        </w:r>
      </w:hyperlink>
      <w:r w:rsidRPr="00600DA0">
        <w:rPr>
          <w:rFonts w:ascii="Khaitan" w:hAnsi="Khaitan" w:cstheme="majorHAnsi"/>
          <w:b w:val="0"/>
          <w:lang w:val="en-GB"/>
        </w:rPr>
        <w:t xml:space="preserve"> dated 21 May </w:t>
      </w:r>
      <w:r w:rsidRPr="00600DA0">
        <w:rPr>
          <w:rFonts w:ascii="Khaitan" w:hAnsi="Khaitan" w:cstheme="majorHAnsi"/>
          <w:b w:val="0"/>
          <w:lang w:val="en-GB"/>
        </w:rPr>
        <w:lastRenderedPageBreak/>
        <w:t>2024 (SEBI Framework Circular) has set out this framework. Unaffected price shall be considered for transactions on which pricing norms specified by SEBI or stock exchanges</w:t>
      </w:r>
      <w:r w:rsidRPr="00600DA0">
        <w:rPr>
          <w:rStyle w:val="FootnoteReference"/>
          <w:rFonts w:ascii="Khaitan" w:hAnsi="Khaitan" w:cstheme="majorHAnsi"/>
          <w:b w:val="0"/>
          <w:sz w:val="22"/>
          <w:lang w:val="en-GB"/>
        </w:rPr>
        <w:footnoteReference w:id="3"/>
      </w:r>
      <w:r w:rsidRPr="00600DA0">
        <w:rPr>
          <w:rFonts w:ascii="Khaitan" w:hAnsi="Khaitan" w:cstheme="majorHAnsi"/>
          <w:b w:val="0"/>
          <w:lang w:val="en-GB"/>
        </w:rPr>
        <w:t xml:space="preserve"> are applicable, provided that the rumour pertaining to such transaction has been confirmed within 24 hours from trigger of material price movement. The LODR Amendment clarifies that unaffected price shall be considered by excluding the effect on the price of the equity shares of the listed entity due to the material price movement and confirmation of the rumour. </w:t>
      </w:r>
    </w:p>
    <w:p w14:paraId="6754C1D5"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p>
    <w:p w14:paraId="399CE464" w14:textId="6FF8CE0C" w:rsidR="00600DA0" w:rsidRPr="00600DA0" w:rsidRDefault="00000000" w:rsidP="00600DA0">
      <w:pPr>
        <w:pStyle w:val="ListParagraph"/>
        <w:spacing w:before="120" w:after="240" w:line="240" w:lineRule="exact"/>
        <w:ind w:left="360"/>
        <w:jc w:val="both"/>
        <w:rPr>
          <w:rFonts w:ascii="Khaitan" w:hAnsi="Khaitan" w:cstheme="majorHAnsi"/>
          <w:b w:val="0"/>
          <w:lang w:val="en-GB"/>
        </w:rPr>
      </w:pPr>
      <w:hyperlink r:id="rId23" w:history="1">
        <w:r w:rsidR="00600DA0" w:rsidRPr="00600DA0">
          <w:rPr>
            <w:rStyle w:val="Hyperlink"/>
            <w:rFonts w:ascii="Khaitan" w:hAnsi="Khaitan" w:cstheme="majorHAnsi"/>
            <w:b w:val="0"/>
            <w:lang w:val="en-GB"/>
          </w:rPr>
          <w:t>‘Industry standards note on verification of market rumours under Regulation 30(11) of LODR Regulations’</w:t>
        </w:r>
      </w:hyperlink>
      <w:r w:rsidR="00600DA0" w:rsidRPr="00600DA0">
        <w:rPr>
          <w:rFonts w:ascii="Khaitan" w:hAnsi="Khaitan" w:cstheme="majorHAnsi"/>
          <w:b w:val="0"/>
          <w:lang w:val="en-GB"/>
        </w:rPr>
        <w:t xml:space="preserve"> (ISF Note), published on the websites of ASSOCHAM, CII and FICCI as well as stock exchanges has been mandated by SEBI in its </w:t>
      </w:r>
      <w:hyperlink r:id="rId24" w:history="1">
        <w:r w:rsidR="00600DA0" w:rsidRPr="00600DA0">
          <w:rPr>
            <w:rStyle w:val="Hyperlink"/>
            <w:rFonts w:ascii="Khaitan" w:hAnsi="Khaitan" w:cstheme="majorHAnsi"/>
            <w:b w:val="0"/>
            <w:lang w:val="en-GB"/>
          </w:rPr>
          <w:t>circular titled ‘Industry Standards on verification of market rumours’</w:t>
        </w:r>
      </w:hyperlink>
      <w:r w:rsidR="00600DA0" w:rsidRPr="00600DA0">
        <w:rPr>
          <w:rFonts w:ascii="Khaitan" w:hAnsi="Khaitan" w:cstheme="majorHAnsi"/>
          <w:b w:val="0"/>
          <w:lang w:val="en-GB"/>
        </w:rPr>
        <w:t xml:space="preserve"> dated 21 May 2024 (ISF Note Circular). </w:t>
      </w:r>
    </w:p>
    <w:p w14:paraId="52F2AC44"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p>
    <w:p w14:paraId="42C781AC" w14:textId="77777777" w:rsidR="00600DA0" w:rsidRPr="00600DA0" w:rsidRDefault="00600DA0" w:rsidP="00600DA0">
      <w:pPr>
        <w:pStyle w:val="ListParagraph"/>
        <w:spacing w:before="120" w:after="240" w:line="240" w:lineRule="exact"/>
        <w:ind w:left="360"/>
        <w:contextualSpacing w:val="0"/>
        <w:jc w:val="both"/>
        <w:rPr>
          <w:rFonts w:ascii="Khaitan" w:hAnsi="Khaitan" w:cstheme="majorHAnsi"/>
          <w:b w:val="0"/>
          <w:lang w:val="en-GB"/>
        </w:rPr>
      </w:pPr>
      <w:r w:rsidRPr="00450CA6">
        <w:rPr>
          <w:rFonts w:ascii="Khaitan" w:hAnsi="Khaitan" w:cstheme="majorHAnsi"/>
          <w:b w:val="0"/>
          <w:u w:val="single"/>
          <w:lang w:val="en-GB"/>
        </w:rPr>
        <w:t xml:space="preserve">The ISF Note </w:t>
      </w:r>
      <w:r w:rsidRPr="00450CA6">
        <w:rPr>
          <w:rFonts w:ascii="Khaitan" w:hAnsi="Khaitan" w:cstheme="majorHAnsi"/>
          <w:b w:val="0"/>
          <w:i/>
          <w:iCs/>
          <w:u w:val="single"/>
          <w:lang w:val="en-GB"/>
        </w:rPr>
        <w:t xml:space="preserve">inter alia </w:t>
      </w:r>
      <w:r w:rsidRPr="00450CA6">
        <w:rPr>
          <w:rFonts w:ascii="Khaitan" w:hAnsi="Khaitan" w:cstheme="majorHAnsi"/>
          <w:b w:val="0"/>
          <w:u w:val="single"/>
          <w:lang w:val="en-GB"/>
        </w:rPr>
        <w:t>addresses the third concern by clarifying the scope and ambit of ‘mainstream media’ is as follows along with comprehensive list of illustrations</w:t>
      </w:r>
      <w:r w:rsidRPr="00600DA0">
        <w:rPr>
          <w:rFonts w:ascii="Khaitan" w:hAnsi="Khaitan" w:cstheme="majorHAnsi"/>
          <w:b w:val="0"/>
          <w:lang w:val="en-GB"/>
        </w:rPr>
        <w:t>:</w:t>
      </w:r>
    </w:p>
    <w:p w14:paraId="7AC67C92" w14:textId="269A1330" w:rsidR="00600DA0" w:rsidRPr="00DF132A" w:rsidRDefault="00600DA0" w:rsidP="00DF132A">
      <w:pPr>
        <w:pStyle w:val="ListParagraph"/>
        <w:numPr>
          <w:ilvl w:val="0"/>
          <w:numId w:val="48"/>
        </w:numPr>
        <w:spacing w:before="120" w:after="240" w:line="240" w:lineRule="exact"/>
        <w:ind w:left="900" w:hanging="540"/>
        <w:contextualSpacing w:val="0"/>
        <w:jc w:val="both"/>
        <w:rPr>
          <w:rFonts w:ascii="Khaitan" w:hAnsi="Khaitan" w:cstheme="majorHAnsi"/>
          <w:bCs/>
          <w:lang w:val="en-GB"/>
        </w:rPr>
      </w:pPr>
      <w:r w:rsidRPr="00DF132A">
        <w:rPr>
          <w:rFonts w:ascii="Khaitan" w:hAnsi="Khaitan" w:cstheme="majorHAnsi"/>
          <w:bCs/>
          <w:lang w:val="en-GB"/>
        </w:rPr>
        <w:t>Domestic media</w:t>
      </w:r>
      <w:r w:rsidR="00450CA6">
        <w:rPr>
          <w:rFonts w:ascii="Khaitan" w:hAnsi="Khaitan" w:cstheme="majorHAnsi"/>
          <w:bCs/>
          <w:lang w:val="en-GB"/>
        </w:rPr>
        <w:t>:</w:t>
      </w:r>
    </w:p>
    <w:p w14:paraId="2BA5EC1E" w14:textId="05658C9B" w:rsidR="00600DA0" w:rsidRPr="00600DA0" w:rsidRDefault="00600DA0" w:rsidP="00DF132A">
      <w:pPr>
        <w:pStyle w:val="ListParagraph"/>
        <w:numPr>
          <w:ilvl w:val="1"/>
          <w:numId w:val="48"/>
        </w:numPr>
        <w:spacing w:before="120" w:after="240" w:line="240" w:lineRule="exact"/>
        <w:ind w:left="1260"/>
        <w:contextualSpacing w:val="0"/>
        <w:jc w:val="both"/>
        <w:rPr>
          <w:rFonts w:ascii="Khaitan" w:hAnsi="Khaitan" w:cstheme="majorHAnsi"/>
          <w:b w:val="0"/>
          <w:lang w:val="en-GB"/>
        </w:rPr>
      </w:pPr>
      <w:r w:rsidRPr="00600DA0">
        <w:rPr>
          <w:rFonts w:ascii="Khaitan" w:hAnsi="Khaitan" w:cstheme="majorHAnsi"/>
          <w:b w:val="0"/>
          <w:lang w:val="en-GB"/>
        </w:rPr>
        <w:t>General newspapers</w:t>
      </w:r>
      <w:r w:rsidR="009E6FFA">
        <w:rPr>
          <w:rFonts w:ascii="Khaitan" w:hAnsi="Khaitan" w:cstheme="majorHAnsi"/>
          <w:b w:val="0"/>
          <w:lang w:val="en-GB"/>
        </w:rPr>
        <w:t>:</w:t>
      </w:r>
    </w:p>
    <w:p w14:paraId="17601723" w14:textId="77777777" w:rsidR="00600DA0" w:rsidRPr="00600DA0" w:rsidRDefault="00600DA0" w:rsidP="00DF132A">
      <w:pPr>
        <w:pStyle w:val="ListParagraph"/>
        <w:numPr>
          <w:ilvl w:val="2"/>
          <w:numId w:val="48"/>
        </w:numPr>
        <w:spacing w:before="120" w:after="240" w:line="240" w:lineRule="exact"/>
        <w:ind w:left="1620"/>
        <w:contextualSpacing w:val="0"/>
        <w:jc w:val="both"/>
        <w:rPr>
          <w:rFonts w:ascii="Khaitan" w:hAnsi="Khaitan" w:cstheme="majorHAnsi"/>
          <w:b w:val="0"/>
          <w:lang w:val="en-GB"/>
        </w:rPr>
      </w:pPr>
      <w:r w:rsidRPr="00600DA0">
        <w:rPr>
          <w:rFonts w:ascii="Khaitan" w:hAnsi="Khaitan" w:cstheme="majorHAnsi"/>
          <w:b w:val="0"/>
          <w:lang w:val="en-GB"/>
        </w:rPr>
        <w:t>Top 20 English national dailies having circulation of 1,00,000 or more (RNI Circulation);</w:t>
      </w:r>
    </w:p>
    <w:p w14:paraId="5C646431" w14:textId="77777777" w:rsidR="00600DA0" w:rsidRPr="00600DA0" w:rsidRDefault="00600DA0" w:rsidP="00DF132A">
      <w:pPr>
        <w:pStyle w:val="ListParagraph"/>
        <w:numPr>
          <w:ilvl w:val="2"/>
          <w:numId w:val="48"/>
        </w:numPr>
        <w:spacing w:before="120" w:after="240" w:line="240" w:lineRule="exact"/>
        <w:ind w:left="1620"/>
        <w:contextualSpacing w:val="0"/>
        <w:jc w:val="both"/>
        <w:rPr>
          <w:rFonts w:ascii="Khaitan" w:hAnsi="Khaitan" w:cstheme="majorHAnsi"/>
          <w:b w:val="0"/>
          <w:lang w:val="en-GB"/>
        </w:rPr>
      </w:pPr>
      <w:r w:rsidRPr="00600DA0">
        <w:rPr>
          <w:rFonts w:ascii="Khaitan" w:hAnsi="Khaitan" w:cstheme="majorHAnsi"/>
          <w:b w:val="0"/>
          <w:lang w:val="en-GB"/>
        </w:rPr>
        <w:t>Top 2 regional dailies having highest circulation for each of the 22 official languages of India having RNI Circulation; and</w:t>
      </w:r>
    </w:p>
    <w:p w14:paraId="12649AC6" w14:textId="77777777" w:rsidR="00600DA0" w:rsidRPr="00600DA0" w:rsidRDefault="00600DA0" w:rsidP="00DF132A">
      <w:pPr>
        <w:pStyle w:val="ListParagraph"/>
        <w:numPr>
          <w:ilvl w:val="2"/>
          <w:numId w:val="48"/>
        </w:numPr>
        <w:spacing w:before="120" w:after="240" w:line="240" w:lineRule="exact"/>
        <w:ind w:left="1620"/>
        <w:contextualSpacing w:val="0"/>
        <w:jc w:val="both"/>
        <w:rPr>
          <w:rFonts w:ascii="Khaitan" w:hAnsi="Khaitan" w:cstheme="majorHAnsi"/>
          <w:b w:val="0"/>
          <w:lang w:val="en-GB"/>
        </w:rPr>
      </w:pPr>
      <w:r w:rsidRPr="00600DA0">
        <w:rPr>
          <w:rFonts w:ascii="Khaitan" w:hAnsi="Khaitan" w:cstheme="majorHAnsi"/>
          <w:b w:val="0"/>
          <w:lang w:val="en-GB"/>
        </w:rPr>
        <w:t>Identified business / financial news dailies.</w:t>
      </w:r>
    </w:p>
    <w:p w14:paraId="389251C8" w14:textId="77777777" w:rsidR="00600DA0" w:rsidRPr="00600DA0" w:rsidRDefault="00600DA0" w:rsidP="00DF132A">
      <w:pPr>
        <w:pStyle w:val="ListParagraph"/>
        <w:numPr>
          <w:ilvl w:val="1"/>
          <w:numId w:val="48"/>
        </w:numPr>
        <w:spacing w:before="120" w:after="240" w:line="240" w:lineRule="exact"/>
        <w:ind w:left="1260"/>
        <w:contextualSpacing w:val="0"/>
        <w:jc w:val="both"/>
        <w:rPr>
          <w:rFonts w:ascii="Khaitan" w:hAnsi="Khaitan" w:cstheme="majorHAnsi"/>
          <w:b w:val="0"/>
          <w:lang w:val="en-GB"/>
        </w:rPr>
      </w:pPr>
      <w:r w:rsidRPr="00600DA0">
        <w:rPr>
          <w:rFonts w:ascii="Khaitan" w:hAnsi="Khaitan" w:cstheme="majorHAnsi"/>
          <w:b w:val="0"/>
          <w:lang w:val="en-GB"/>
        </w:rPr>
        <w:t xml:space="preserve">Digital / online news source: Digital versions of the aforesaid Indian newspapers and identified business / financial news sources. </w:t>
      </w:r>
    </w:p>
    <w:p w14:paraId="605833CE" w14:textId="77777777" w:rsidR="00600DA0" w:rsidRPr="00600DA0" w:rsidRDefault="00600DA0" w:rsidP="00DF132A">
      <w:pPr>
        <w:pStyle w:val="ListParagraph"/>
        <w:numPr>
          <w:ilvl w:val="1"/>
          <w:numId w:val="48"/>
        </w:numPr>
        <w:spacing w:before="120" w:after="240" w:line="240" w:lineRule="exact"/>
        <w:ind w:left="1260"/>
        <w:contextualSpacing w:val="0"/>
        <w:jc w:val="both"/>
        <w:rPr>
          <w:rFonts w:ascii="Khaitan" w:hAnsi="Khaitan" w:cstheme="majorHAnsi"/>
          <w:b w:val="0"/>
          <w:lang w:val="en-GB"/>
        </w:rPr>
      </w:pPr>
      <w:r w:rsidRPr="00600DA0">
        <w:rPr>
          <w:rFonts w:ascii="Khaitan" w:hAnsi="Khaitan" w:cstheme="majorHAnsi"/>
          <w:b w:val="0"/>
          <w:lang w:val="en-GB"/>
        </w:rPr>
        <w:t xml:space="preserve">News Channel: Selected English news channel as well as other business news channel covering business / corporate / financial / economic views and displaying stock / security prices during market </w:t>
      </w:r>
      <w:r w:rsidRPr="00600DA0">
        <w:rPr>
          <w:rFonts w:ascii="Khaitan" w:hAnsi="Khaitan" w:cstheme="majorHAnsi"/>
          <w:b w:val="0"/>
          <w:lang w:val="en-GB"/>
        </w:rPr>
        <w:t xml:space="preserve">hours, which are registered with Ministry of Information and Broadcasting. </w:t>
      </w:r>
    </w:p>
    <w:p w14:paraId="32C850FC" w14:textId="77777777" w:rsidR="00600DA0" w:rsidRPr="00DF132A" w:rsidRDefault="00600DA0" w:rsidP="00450CA6">
      <w:pPr>
        <w:pStyle w:val="ListParagraph"/>
        <w:numPr>
          <w:ilvl w:val="0"/>
          <w:numId w:val="48"/>
        </w:numPr>
        <w:spacing w:before="120" w:after="240" w:line="240" w:lineRule="exact"/>
        <w:ind w:left="900" w:hanging="630"/>
        <w:contextualSpacing w:val="0"/>
        <w:jc w:val="both"/>
        <w:rPr>
          <w:rFonts w:ascii="Khaitan" w:hAnsi="Khaitan" w:cstheme="majorHAnsi"/>
          <w:bCs/>
          <w:lang w:val="en-GB"/>
        </w:rPr>
      </w:pPr>
      <w:r w:rsidRPr="00DF132A">
        <w:rPr>
          <w:rFonts w:ascii="Khaitan" w:hAnsi="Khaitan" w:cstheme="majorHAnsi"/>
          <w:bCs/>
          <w:lang w:val="en-GB"/>
        </w:rPr>
        <w:t xml:space="preserve">International media: </w:t>
      </w:r>
    </w:p>
    <w:p w14:paraId="49D7A3A5" w14:textId="77777777" w:rsidR="00600DA0" w:rsidRPr="00600DA0" w:rsidRDefault="00600DA0" w:rsidP="00450CA6">
      <w:pPr>
        <w:pStyle w:val="ListParagraph"/>
        <w:numPr>
          <w:ilvl w:val="1"/>
          <w:numId w:val="48"/>
        </w:numPr>
        <w:spacing w:before="120" w:after="240" w:line="240" w:lineRule="exact"/>
        <w:ind w:hanging="450"/>
        <w:contextualSpacing w:val="0"/>
        <w:jc w:val="both"/>
        <w:rPr>
          <w:rFonts w:ascii="Khaitan" w:hAnsi="Khaitan" w:cstheme="majorHAnsi"/>
          <w:b w:val="0"/>
          <w:lang w:val="en-GB"/>
        </w:rPr>
      </w:pPr>
      <w:r w:rsidRPr="00600DA0">
        <w:rPr>
          <w:rFonts w:ascii="Khaitan" w:hAnsi="Khaitan" w:cstheme="majorHAnsi"/>
          <w:b w:val="0"/>
          <w:lang w:val="en-GB"/>
        </w:rPr>
        <w:t>Specified media: Top 5 English business / financial news daily by circulation in top 5 jurisdictions from which foreign portfolio investors have invested in India, being United States of America, Singapore, Mauritius, Luxemburg</w:t>
      </w:r>
      <w:r w:rsidRPr="00600DA0">
        <w:rPr>
          <w:rStyle w:val="FootnoteReference"/>
          <w:rFonts w:ascii="Khaitan" w:hAnsi="Khaitan" w:cstheme="majorHAnsi"/>
          <w:b w:val="0"/>
          <w:sz w:val="22"/>
          <w:lang w:val="en-GB"/>
        </w:rPr>
        <w:footnoteReference w:id="4"/>
      </w:r>
      <w:r w:rsidRPr="00600DA0">
        <w:rPr>
          <w:rFonts w:ascii="Khaitan" w:hAnsi="Khaitan" w:cstheme="majorHAnsi"/>
          <w:b w:val="0"/>
          <w:lang w:val="en-GB"/>
        </w:rPr>
        <w:t xml:space="preserve"> and United Kingdom; and </w:t>
      </w:r>
    </w:p>
    <w:p w14:paraId="70ADD172" w14:textId="77777777" w:rsidR="00600DA0" w:rsidRPr="00600DA0" w:rsidRDefault="00600DA0" w:rsidP="00450CA6">
      <w:pPr>
        <w:pStyle w:val="ListParagraph"/>
        <w:numPr>
          <w:ilvl w:val="1"/>
          <w:numId w:val="48"/>
        </w:numPr>
        <w:spacing w:before="120" w:after="240" w:line="240" w:lineRule="exact"/>
        <w:ind w:hanging="450"/>
        <w:contextualSpacing w:val="0"/>
        <w:jc w:val="both"/>
        <w:rPr>
          <w:rFonts w:ascii="Khaitan" w:hAnsi="Khaitan" w:cstheme="majorHAnsi"/>
          <w:b w:val="0"/>
          <w:lang w:val="en-GB"/>
        </w:rPr>
      </w:pPr>
      <w:r w:rsidRPr="00600DA0">
        <w:rPr>
          <w:rFonts w:ascii="Khaitan" w:hAnsi="Khaitan" w:cstheme="majorHAnsi"/>
          <w:b w:val="0"/>
          <w:lang w:val="en-GB"/>
        </w:rPr>
        <w:t>Listed entity specific media: English business / financial news sources from such jurisdictions where the listed entity has material business operations are required. Listed entities which such sort of business operations outside India, are also required to amend their policy under Regulation 30 of the LODR to clarify the criteria for determining ‘main business operations’ in order to identify relevant jurisdictions and media thereat.</w:t>
      </w:r>
    </w:p>
    <w:p w14:paraId="574900D1" w14:textId="77777777" w:rsidR="00600DA0" w:rsidRPr="00600DA0" w:rsidRDefault="00600DA0" w:rsidP="00600DA0">
      <w:pPr>
        <w:spacing w:before="120" w:after="240" w:line="240" w:lineRule="exact"/>
        <w:ind w:left="360"/>
        <w:jc w:val="both"/>
        <w:rPr>
          <w:rFonts w:ascii="Khaitan" w:hAnsi="Khaitan" w:cstheme="majorHAnsi"/>
          <w:b w:val="0"/>
          <w:lang w:val="en-GB"/>
        </w:rPr>
      </w:pPr>
      <w:r w:rsidRPr="00600DA0">
        <w:rPr>
          <w:rFonts w:ascii="Khaitan" w:hAnsi="Khaitan" w:cstheme="majorHAnsi"/>
          <w:b w:val="0"/>
          <w:lang w:val="en-GB"/>
        </w:rPr>
        <w:t>In addition to the above, it has been clarified that news aggregators and social media platforms have been excluded from the scope of mainstream media.</w:t>
      </w:r>
    </w:p>
    <w:p w14:paraId="26B13C40"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r w:rsidRPr="00600DA0">
        <w:rPr>
          <w:rFonts w:ascii="Khaitan" w:hAnsi="Khaitan" w:cstheme="majorHAnsi"/>
          <w:b w:val="0"/>
          <w:lang w:val="en-GB"/>
        </w:rPr>
        <w:t xml:space="preserve">Separately, in terms of timelines for compliance with RVR under the new regime, the LODR Amendment specifies that the listed entity is required to confirm, deny, or clarify any reported event or information, within 24 hours from the trigger of material price movement. </w:t>
      </w:r>
    </w:p>
    <w:p w14:paraId="7861336C" w14:textId="77777777" w:rsidR="00600DA0" w:rsidRPr="00600DA0" w:rsidRDefault="00600DA0" w:rsidP="00600DA0">
      <w:pPr>
        <w:pStyle w:val="ListParagraph"/>
        <w:spacing w:before="120" w:after="240" w:line="240" w:lineRule="exact"/>
        <w:ind w:left="360"/>
        <w:jc w:val="both"/>
        <w:rPr>
          <w:rFonts w:ascii="Khaitan" w:hAnsi="Khaitan" w:cstheme="majorHAnsi"/>
          <w:bCs/>
          <w:i/>
          <w:iCs/>
          <w:lang w:val="en-GB"/>
        </w:rPr>
      </w:pPr>
    </w:p>
    <w:p w14:paraId="43FE9DB6" w14:textId="3545ECDD" w:rsidR="00600DA0" w:rsidRPr="00600DA0" w:rsidRDefault="00600DA0" w:rsidP="00600DA0">
      <w:pPr>
        <w:pStyle w:val="ListParagraph"/>
        <w:numPr>
          <w:ilvl w:val="0"/>
          <w:numId w:val="47"/>
        </w:numPr>
        <w:spacing w:before="120" w:after="240" w:line="240" w:lineRule="exact"/>
        <w:ind w:left="357" w:hanging="357"/>
        <w:contextualSpacing w:val="0"/>
        <w:jc w:val="both"/>
        <w:rPr>
          <w:rFonts w:ascii="Khaitan" w:hAnsi="Khaitan" w:cs="Gotham Book"/>
          <w:b w:val="0"/>
          <w:caps/>
          <w:color w:val="E8425C"/>
          <w:sz w:val="26"/>
          <w:szCs w:val="26"/>
          <w:lang w:val="en-GB"/>
        </w:rPr>
      </w:pPr>
      <w:r w:rsidRPr="00600DA0">
        <w:rPr>
          <w:rFonts w:ascii="Khaitan" w:hAnsi="Khaitan" w:cs="Gotham Book"/>
          <w:b w:val="0"/>
          <w:caps/>
          <w:color w:val="E8425C"/>
          <w:sz w:val="26"/>
          <w:szCs w:val="26"/>
          <w:lang w:val="en-GB"/>
        </w:rPr>
        <w:t>Amendments pertaining to Market Cap</w:t>
      </w:r>
      <w:r w:rsidR="006C4104">
        <w:rPr>
          <w:rFonts w:ascii="Khaitan" w:hAnsi="Khaitan" w:cs="Gotham Book"/>
          <w:b w:val="0"/>
          <w:caps/>
          <w:color w:val="E8425C"/>
          <w:sz w:val="26"/>
          <w:szCs w:val="26"/>
          <w:lang w:val="en-GB"/>
        </w:rPr>
        <w:t>ITALISATION</w:t>
      </w:r>
      <w:r w:rsidRPr="00600DA0">
        <w:rPr>
          <w:rFonts w:ascii="Khaitan" w:hAnsi="Khaitan" w:cs="Gotham Book"/>
          <w:b w:val="0"/>
          <w:caps/>
          <w:color w:val="E8425C"/>
          <w:sz w:val="26"/>
          <w:szCs w:val="26"/>
          <w:lang w:val="en-GB"/>
        </w:rPr>
        <w:t xml:space="preserve"> computation </w:t>
      </w:r>
    </w:p>
    <w:p w14:paraId="19F5231D" w14:textId="569CB71F" w:rsidR="00600DA0" w:rsidRPr="00600DA0" w:rsidRDefault="00600DA0" w:rsidP="00600DA0">
      <w:pPr>
        <w:pStyle w:val="ListParagraph"/>
        <w:numPr>
          <w:ilvl w:val="0"/>
          <w:numId w:val="46"/>
        </w:numPr>
        <w:spacing w:before="120" w:after="240" w:line="240" w:lineRule="exact"/>
        <w:ind w:left="357" w:hanging="357"/>
        <w:contextualSpacing w:val="0"/>
        <w:jc w:val="both"/>
        <w:rPr>
          <w:rFonts w:ascii="Khaitan" w:hAnsi="Khaitan" w:cstheme="majorHAnsi"/>
          <w:b w:val="0"/>
          <w:lang w:val="en-GB"/>
        </w:rPr>
      </w:pPr>
      <w:r w:rsidRPr="002F5089">
        <w:rPr>
          <w:rFonts w:ascii="Khaitan" w:hAnsi="Khaitan" w:cs="Gotham Light"/>
          <w:b w:val="0"/>
          <w:color w:val="0075BE"/>
          <w:lang w:val="en-GB"/>
        </w:rPr>
        <w:t>Revised methodology for computation of market capitalisation</w:t>
      </w:r>
      <w:r w:rsidRPr="00600DA0">
        <w:rPr>
          <w:rFonts w:ascii="Khaitan" w:hAnsi="Khaitan" w:cstheme="majorHAnsi"/>
          <w:b w:val="0"/>
          <w:lang w:val="en-GB"/>
        </w:rPr>
        <w:t xml:space="preserve">: </w:t>
      </w:r>
      <w:r w:rsidR="00450CA6">
        <w:rPr>
          <w:rFonts w:ascii="Khaitan" w:hAnsi="Khaitan" w:cstheme="majorHAnsi"/>
          <w:b w:val="0"/>
          <w:lang w:val="en-GB"/>
        </w:rPr>
        <w:tab/>
      </w:r>
      <w:r w:rsidR="00450CA6">
        <w:rPr>
          <w:rFonts w:ascii="Khaitan" w:hAnsi="Khaitan" w:cstheme="majorHAnsi"/>
          <w:b w:val="0"/>
          <w:lang w:val="en-GB"/>
        </w:rPr>
        <w:br/>
      </w:r>
      <w:r w:rsidR="00450CA6">
        <w:rPr>
          <w:rFonts w:ascii="Khaitan" w:hAnsi="Khaitan" w:cstheme="majorHAnsi"/>
          <w:b w:val="0"/>
          <w:lang w:val="en-GB"/>
        </w:rPr>
        <w:br/>
      </w:r>
      <w:r w:rsidRPr="00600DA0">
        <w:rPr>
          <w:rFonts w:ascii="Khaitan" w:hAnsi="Khaitan" w:cstheme="majorHAnsi"/>
          <w:b w:val="0"/>
          <w:lang w:val="en-GB"/>
        </w:rPr>
        <w:t>Listed entities with higher market cap and ranking into categories such as top 100, top 500, top 1000, and so on (collectively referred to as Top Cos) are subject to increased compliances (Top Co Compliances) under the LODR. Top Co Compliances can be categorised into 3 broad buckets of</w:t>
      </w:r>
      <w:r w:rsidR="006C4104">
        <w:rPr>
          <w:rFonts w:ascii="Khaitan" w:hAnsi="Khaitan" w:cstheme="majorHAnsi"/>
          <w:b w:val="0"/>
          <w:lang w:val="en-GB"/>
        </w:rPr>
        <w:t>:</w:t>
      </w:r>
      <w:r w:rsidRPr="00600DA0">
        <w:rPr>
          <w:rFonts w:ascii="Khaitan" w:hAnsi="Khaitan" w:cstheme="majorHAnsi"/>
          <w:b w:val="0"/>
          <w:lang w:val="en-GB"/>
        </w:rPr>
        <w:t xml:space="preserve"> (</w:t>
      </w:r>
      <w:proofErr w:type="spellStart"/>
      <w:r w:rsidRPr="00600DA0">
        <w:rPr>
          <w:rFonts w:ascii="Khaitan" w:hAnsi="Khaitan" w:cstheme="majorHAnsi"/>
          <w:b w:val="0"/>
          <w:lang w:val="en-GB"/>
        </w:rPr>
        <w:t>i</w:t>
      </w:r>
      <w:proofErr w:type="spellEnd"/>
      <w:r w:rsidRPr="00600DA0">
        <w:rPr>
          <w:rFonts w:ascii="Khaitan" w:hAnsi="Khaitan" w:cstheme="majorHAnsi"/>
          <w:b w:val="0"/>
          <w:lang w:val="en-GB"/>
        </w:rPr>
        <w:t xml:space="preserve">) board </w:t>
      </w:r>
      <w:r w:rsidRPr="00600DA0">
        <w:rPr>
          <w:rFonts w:ascii="Khaitan" w:hAnsi="Khaitan" w:cstheme="majorHAnsi"/>
          <w:b w:val="0"/>
          <w:lang w:val="en-GB"/>
        </w:rPr>
        <w:lastRenderedPageBreak/>
        <w:t>related compliances;</w:t>
      </w:r>
      <w:r w:rsidRPr="00600DA0">
        <w:rPr>
          <w:rStyle w:val="FootnoteReference"/>
          <w:rFonts w:ascii="Khaitan" w:hAnsi="Khaitan" w:cstheme="majorHAnsi"/>
          <w:b w:val="0"/>
          <w:sz w:val="22"/>
          <w:lang w:val="en-GB"/>
        </w:rPr>
        <w:footnoteReference w:id="5"/>
      </w:r>
      <w:r w:rsidRPr="00600DA0">
        <w:rPr>
          <w:rFonts w:ascii="Khaitan" w:hAnsi="Khaitan" w:cstheme="majorHAnsi"/>
          <w:b w:val="0"/>
          <w:lang w:val="en-GB"/>
        </w:rPr>
        <w:t xml:space="preserve"> (ii) shareholder related compliances;</w:t>
      </w:r>
      <w:r w:rsidRPr="00600DA0">
        <w:rPr>
          <w:rStyle w:val="FootnoteReference"/>
          <w:rFonts w:ascii="Khaitan" w:hAnsi="Khaitan" w:cstheme="majorHAnsi"/>
          <w:b w:val="0"/>
          <w:sz w:val="22"/>
          <w:lang w:val="en-GB"/>
        </w:rPr>
        <w:footnoteReference w:id="6"/>
      </w:r>
      <w:r w:rsidRPr="00600DA0">
        <w:rPr>
          <w:rFonts w:ascii="Khaitan" w:hAnsi="Khaitan" w:cstheme="majorHAnsi"/>
          <w:b w:val="0"/>
          <w:lang w:val="en-GB"/>
        </w:rPr>
        <w:t xml:space="preserve"> and (iii) general governance and disclosure.</w:t>
      </w:r>
      <w:r w:rsidRPr="00600DA0">
        <w:rPr>
          <w:rStyle w:val="FootnoteReference"/>
          <w:rFonts w:ascii="Khaitan" w:hAnsi="Khaitan" w:cstheme="majorHAnsi"/>
          <w:b w:val="0"/>
          <w:sz w:val="22"/>
          <w:lang w:val="en-GB"/>
        </w:rPr>
        <w:footnoteReference w:id="7"/>
      </w:r>
      <w:r w:rsidRPr="00600DA0">
        <w:rPr>
          <w:rFonts w:ascii="Khaitan" w:hAnsi="Khaitan" w:cstheme="majorHAnsi"/>
          <w:b w:val="0"/>
          <w:lang w:val="en-GB"/>
        </w:rPr>
        <w:t xml:space="preserve"> </w:t>
      </w:r>
    </w:p>
    <w:p w14:paraId="6C50DAC3"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r w:rsidRPr="00600DA0">
        <w:rPr>
          <w:rFonts w:ascii="Khaitan" w:hAnsi="Khaitan" w:cstheme="majorHAnsi"/>
          <w:b w:val="0"/>
          <w:lang w:val="en-GB"/>
        </w:rPr>
        <w:t xml:space="preserve">Market capitalisation forms the basis for ranking for listed entities as Top Cos. Prior to the LODR Amendment, Top Co Compliances used to become applicable on 1 April basis identification of Top Co on 31 March basis market capitalisation of the securities of listed entities on 31 March. This manner of identifying Top Cos and implementation timelines for Top Co Compliances had certain shortcomings. Firstly, it relied solely on a single-day market capitalisation. Secondly, there was inadequate time for listed entities newly ranked as Top Cos to establish mechanisms to ensure compliance with Top Co Compliances. </w:t>
      </w:r>
    </w:p>
    <w:p w14:paraId="74E552C3"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p>
    <w:p w14:paraId="1CA500A6"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r w:rsidRPr="00600DA0">
        <w:rPr>
          <w:rFonts w:ascii="Khaitan" w:hAnsi="Khaitan" w:cstheme="majorHAnsi"/>
          <w:b w:val="0"/>
          <w:lang w:val="en-GB"/>
        </w:rPr>
        <w:t>The new method for determining Top Cos is based on average market capitalisation of securities of the listed entities for the period between 1 July and 31 December of the calendar year. The list of listed entities based on such average market capitalisation shall be prepared by recognised stock exchanges by 31 December of the calendar year, starting 31 December 2024. Further, the Top Co Compliances under the LODR shall be applicable to the listed entity ranking as a Top Co within three months from 31 December (being 1 April of the immediate next year) or beginning of the immediate next financial year, whichever is later. This gives preparatory time to the listed entities ranking as top listed entity for the first time or after an interim period. Further, the requirement to comply with increased compliances would apply to the listed entity based on the previous year’s ranking and shall continue unless the listed entity remains out of the ranking that triggers higher compliance for three consecutive years.</w:t>
      </w:r>
    </w:p>
    <w:p w14:paraId="011692E3"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p>
    <w:p w14:paraId="5A0DB2E1"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r w:rsidRPr="00600DA0">
        <w:rPr>
          <w:rFonts w:ascii="Khaitan" w:hAnsi="Khaitan" w:cstheme="majorHAnsi"/>
          <w:b w:val="0"/>
          <w:lang w:val="en-GB"/>
        </w:rPr>
        <w:t>Given the change in method of Top Co identification, corresponding clean-up amendments throughout the LODR to remove reference to erstwhile method have been made.</w:t>
      </w:r>
    </w:p>
    <w:p w14:paraId="5A944638" w14:textId="77777777" w:rsidR="00600DA0" w:rsidRPr="00600DA0" w:rsidRDefault="00600DA0" w:rsidP="00600DA0">
      <w:pPr>
        <w:pStyle w:val="ListParagraph"/>
        <w:spacing w:before="120" w:after="240" w:line="240" w:lineRule="exact"/>
        <w:ind w:left="360"/>
        <w:jc w:val="both"/>
        <w:rPr>
          <w:rFonts w:ascii="Khaitan" w:hAnsi="Khaitan" w:cstheme="majorHAnsi"/>
          <w:b w:val="0"/>
          <w:lang w:val="en-GB"/>
        </w:rPr>
      </w:pPr>
    </w:p>
    <w:p w14:paraId="0556A78B" w14:textId="7E363A7A" w:rsidR="00600DA0" w:rsidRPr="00600DA0" w:rsidRDefault="00600DA0" w:rsidP="00600DA0">
      <w:pPr>
        <w:pStyle w:val="ListParagraph"/>
        <w:numPr>
          <w:ilvl w:val="0"/>
          <w:numId w:val="47"/>
        </w:numPr>
        <w:spacing w:before="120" w:after="240" w:line="240" w:lineRule="exact"/>
        <w:ind w:left="357" w:hanging="357"/>
        <w:contextualSpacing w:val="0"/>
        <w:jc w:val="both"/>
        <w:rPr>
          <w:rFonts w:ascii="Khaitan" w:hAnsi="Khaitan" w:cs="Gotham Book"/>
          <w:b w:val="0"/>
          <w:caps/>
          <w:color w:val="E8425C"/>
          <w:sz w:val="26"/>
          <w:szCs w:val="26"/>
          <w:lang w:val="en-GB"/>
        </w:rPr>
      </w:pPr>
      <w:r w:rsidRPr="00600DA0">
        <w:rPr>
          <w:rFonts w:ascii="Khaitan" w:hAnsi="Khaitan" w:cs="Gotham Book"/>
          <w:b w:val="0"/>
          <w:caps/>
          <w:color w:val="E8425C"/>
          <w:sz w:val="26"/>
          <w:szCs w:val="26"/>
          <w:lang w:val="en-GB"/>
        </w:rPr>
        <w:t xml:space="preserve">Other governance </w:t>
      </w:r>
      <w:r w:rsidR="006C4104">
        <w:rPr>
          <w:rFonts w:ascii="Khaitan" w:hAnsi="Khaitan" w:cs="Gotham Book"/>
          <w:b w:val="0"/>
          <w:caps/>
          <w:color w:val="E8425C"/>
          <w:sz w:val="26"/>
          <w:szCs w:val="26"/>
          <w:lang w:val="en-GB"/>
        </w:rPr>
        <w:t xml:space="preserve">and DISCLOSURE </w:t>
      </w:r>
      <w:r w:rsidRPr="00600DA0">
        <w:rPr>
          <w:rFonts w:ascii="Khaitan" w:hAnsi="Khaitan" w:cs="Gotham Book"/>
          <w:b w:val="0"/>
          <w:caps/>
          <w:color w:val="E8425C"/>
          <w:sz w:val="26"/>
          <w:szCs w:val="26"/>
          <w:lang w:val="en-GB"/>
        </w:rPr>
        <w:t xml:space="preserve">based amendments </w:t>
      </w:r>
    </w:p>
    <w:p w14:paraId="686620C3" w14:textId="4F271A69" w:rsidR="00600DA0" w:rsidRPr="00600DA0" w:rsidRDefault="00600DA0" w:rsidP="00450CA6">
      <w:pPr>
        <w:pStyle w:val="ListParagraph"/>
        <w:numPr>
          <w:ilvl w:val="0"/>
          <w:numId w:val="46"/>
        </w:numPr>
        <w:spacing w:before="120" w:after="240" w:line="240" w:lineRule="exact"/>
        <w:ind w:left="357" w:hanging="357"/>
        <w:contextualSpacing w:val="0"/>
        <w:jc w:val="both"/>
        <w:rPr>
          <w:rFonts w:ascii="Khaitan" w:hAnsi="Khaitan" w:cstheme="majorHAnsi"/>
          <w:b w:val="0"/>
          <w:lang w:val="en-GB"/>
        </w:rPr>
      </w:pPr>
      <w:r w:rsidRPr="002F5089">
        <w:rPr>
          <w:rFonts w:ascii="Khaitan" w:hAnsi="Khaitan" w:cs="Gotham Light"/>
          <w:b w:val="0"/>
          <w:color w:val="0075BE"/>
          <w:lang w:val="en-GB"/>
        </w:rPr>
        <w:t xml:space="preserve">Mandatory application of certain compliances applicable to equity listed entities under LODR </w:t>
      </w:r>
      <w:r w:rsidRPr="002F5089">
        <w:rPr>
          <w:rFonts w:ascii="Khaitan" w:hAnsi="Khaitan" w:cs="Gotham Light"/>
          <w:b w:val="0"/>
          <w:color w:val="0075BE"/>
          <w:lang w:val="en-GB"/>
        </w:rPr>
        <w:t>deferred for high-value debt listed entities</w:t>
      </w:r>
      <w:r w:rsidRPr="00600DA0">
        <w:rPr>
          <w:rFonts w:ascii="Khaitan" w:hAnsi="Khaitan" w:cstheme="majorHAnsi"/>
          <w:b w:val="0"/>
          <w:lang w:val="en-GB"/>
        </w:rPr>
        <w:t xml:space="preserve">: </w:t>
      </w:r>
      <w:r w:rsidR="00450CA6">
        <w:rPr>
          <w:rFonts w:ascii="Khaitan" w:hAnsi="Khaitan" w:cstheme="majorHAnsi"/>
          <w:b w:val="0"/>
          <w:lang w:val="en-GB"/>
        </w:rPr>
        <w:tab/>
      </w:r>
      <w:r w:rsidR="00450CA6">
        <w:rPr>
          <w:rFonts w:ascii="Khaitan" w:hAnsi="Khaitan" w:cstheme="majorHAnsi"/>
          <w:b w:val="0"/>
          <w:lang w:val="en-GB"/>
        </w:rPr>
        <w:br/>
      </w:r>
      <w:r w:rsidR="00450CA6">
        <w:rPr>
          <w:rFonts w:ascii="Khaitan" w:hAnsi="Khaitan" w:cstheme="majorHAnsi"/>
          <w:b w:val="0"/>
          <w:lang w:val="en-GB"/>
        </w:rPr>
        <w:br/>
      </w:r>
      <w:r w:rsidRPr="00600DA0">
        <w:rPr>
          <w:rFonts w:ascii="Khaitan" w:hAnsi="Khaitan" w:cstheme="majorHAnsi"/>
          <w:b w:val="0"/>
          <w:lang w:val="en-GB"/>
        </w:rPr>
        <w:t>By way of the LODR Amendment, the ‘comply or explain’ application of Regulations 15 to 27 of LODR (Identified Regulations) for high-value debt listed entities (HVLDE) has been extended by yet another year till 31 March 2025. Prior to this extension through the LODR Amendment, the effective date for mandatory application of equity listed compliances under LODR was 31 March 2024. Given that this amendment of the LODR Amendment is effective from 17 May 2024, there was a period of about 1.5 months for which these provisions were mandatorily applicable. Accordingly, it is likely that most HVDLEs may have already put in place governance mechanisms and be compliant with the Identified Regulations.</w:t>
      </w:r>
    </w:p>
    <w:p w14:paraId="3103CB8E" w14:textId="3E46B68E" w:rsidR="00600DA0" w:rsidRPr="00600DA0" w:rsidRDefault="00600DA0" w:rsidP="00450CA6">
      <w:pPr>
        <w:pStyle w:val="ListParagraph"/>
        <w:numPr>
          <w:ilvl w:val="0"/>
          <w:numId w:val="46"/>
        </w:numPr>
        <w:spacing w:before="120" w:after="240" w:line="240" w:lineRule="exact"/>
        <w:jc w:val="both"/>
        <w:rPr>
          <w:rFonts w:ascii="Khaitan" w:hAnsi="Khaitan" w:cstheme="majorHAnsi"/>
          <w:b w:val="0"/>
          <w:lang w:val="en-GB"/>
        </w:rPr>
      </w:pPr>
      <w:r w:rsidRPr="002F5089">
        <w:rPr>
          <w:rFonts w:ascii="Khaitan" w:hAnsi="Khaitan" w:cs="Gotham Light"/>
          <w:b w:val="0"/>
          <w:color w:val="0075BE"/>
          <w:lang w:val="en-GB"/>
        </w:rPr>
        <w:t>Timelines for prior intimation for certain board meetings</w:t>
      </w:r>
      <w:r w:rsidRPr="00600DA0">
        <w:rPr>
          <w:rFonts w:ascii="Khaitan" w:hAnsi="Khaitan" w:cstheme="majorHAnsi"/>
          <w:b w:val="0"/>
          <w:lang w:val="en-GB"/>
        </w:rPr>
        <w:t xml:space="preserve">: </w:t>
      </w:r>
      <w:r w:rsidR="00450CA6">
        <w:rPr>
          <w:rFonts w:ascii="Khaitan" w:hAnsi="Khaitan" w:cstheme="majorHAnsi"/>
          <w:b w:val="0"/>
          <w:lang w:val="en-GB"/>
        </w:rPr>
        <w:tab/>
      </w:r>
      <w:r w:rsidR="00450CA6">
        <w:rPr>
          <w:rFonts w:ascii="Khaitan" w:hAnsi="Khaitan" w:cstheme="majorHAnsi"/>
          <w:b w:val="0"/>
          <w:lang w:val="en-GB"/>
        </w:rPr>
        <w:br/>
      </w:r>
      <w:r w:rsidR="00450CA6">
        <w:rPr>
          <w:rFonts w:ascii="Khaitan" w:hAnsi="Khaitan" w:cstheme="majorHAnsi"/>
          <w:b w:val="0"/>
          <w:lang w:val="en-GB"/>
        </w:rPr>
        <w:br/>
      </w:r>
      <w:r w:rsidRPr="00600DA0">
        <w:rPr>
          <w:rFonts w:ascii="Khaitan" w:hAnsi="Khaitan" w:cstheme="majorHAnsi"/>
          <w:b w:val="0"/>
          <w:lang w:val="en-GB"/>
        </w:rPr>
        <w:t>Regulation 29</w:t>
      </w:r>
      <w:r w:rsidR="00B56FF5">
        <w:rPr>
          <w:rFonts w:ascii="Khaitan" w:hAnsi="Khaitan" w:cstheme="majorHAnsi"/>
          <w:b w:val="0"/>
          <w:lang w:val="en-GB"/>
        </w:rPr>
        <w:t xml:space="preserve"> of the LODR</w:t>
      </w:r>
      <w:r w:rsidRPr="00600DA0">
        <w:rPr>
          <w:rFonts w:ascii="Khaitan" w:hAnsi="Khaitan" w:cstheme="majorHAnsi"/>
          <w:b w:val="0"/>
          <w:lang w:val="en-GB"/>
        </w:rPr>
        <w:t xml:space="preserve"> sets out a requirement for prior intimation to stock exchanges for board meetings for considering certain specified agendas such as financial result, buyback, bonus shares, voluntary delisting, fund raising, declaration / recommendation of dividend, issue of convertible securities, alteration in form / nature or rights of any listed security and alteration in date on which interest on debentures / bonds or redemption amounts of redeemable shares / debentures / bonds are payable. Prior to the LODR Amendment, the timelines varied from 2 working days to 11 working days. </w:t>
      </w:r>
    </w:p>
    <w:p w14:paraId="79A4E3F2" w14:textId="77777777" w:rsidR="00600DA0" w:rsidRPr="00600DA0" w:rsidRDefault="00600DA0" w:rsidP="00450CA6">
      <w:pPr>
        <w:pStyle w:val="ListParagraph"/>
        <w:spacing w:before="120" w:after="240" w:line="240" w:lineRule="exact"/>
        <w:jc w:val="both"/>
        <w:rPr>
          <w:rFonts w:ascii="Khaitan" w:hAnsi="Khaitan" w:cstheme="majorHAnsi"/>
          <w:b w:val="0"/>
          <w:lang w:val="en-GB"/>
        </w:rPr>
      </w:pPr>
    </w:p>
    <w:p w14:paraId="45C9A131" w14:textId="77777777" w:rsidR="00600DA0" w:rsidRPr="006C4104" w:rsidRDefault="00600DA0" w:rsidP="00450CA6">
      <w:pPr>
        <w:pStyle w:val="ListParagraph"/>
        <w:spacing w:before="120" w:after="240" w:line="240" w:lineRule="exact"/>
        <w:ind w:left="360"/>
        <w:contextualSpacing w:val="0"/>
        <w:jc w:val="both"/>
        <w:rPr>
          <w:rFonts w:ascii="Khaitan" w:hAnsi="Khaitan" w:cstheme="majorHAnsi"/>
          <w:b w:val="0"/>
          <w:lang w:val="en-GB"/>
        </w:rPr>
      </w:pPr>
      <w:r w:rsidRPr="006C4104">
        <w:rPr>
          <w:rFonts w:ascii="Khaitan" w:hAnsi="Khaitan" w:cstheme="majorHAnsi"/>
          <w:b w:val="0"/>
          <w:lang w:val="en-GB"/>
        </w:rPr>
        <w:t>In line with the suggestion of the EODB Consultation Paper, through the LODR Amendment:</w:t>
      </w:r>
    </w:p>
    <w:p w14:paraId="6339AC64" w14:textId="77777777" w:rsidR="00600DA0" w:rsidRPr="00600DA0" w:rsidRDefault="00600DA0" w:rsidP="00450CA6">
      <w:pPr>
        <w:pStyle w:val="ListParagraph"/>
        <w:numPr>
          <w:ilvl w:val="1"/>
          <w:numId w:val="49"/>
        </w:numPr>
        <w:spacing w:before="120" w:after="240" w:line="240" w:lineRule="exact"/>
        <w:ind w:left="720"/>
        <w:contextualSpacing w:val="0"/>
        <w:jc w:val="both"/>
        <w:rPr>
          <w:rFonts w:ascii="Khaitan" w:hAnsi="Khaitan" w:cstheme="majorHAnsi"/>
          <w:b w:val="0"/>
          <w:lang w:val="en-GB"/>
        </w:rPr>
      </w:pPr>
      <w:r w:rsidRPr="00600DA0">
        <w:rPr>
          <w:rFonts w:ascii="Khaitan" w:hAnsi="Khaitan" w:cstheme="majorHAnsi"/>
          <w:b w:val="0"/>
          <w:lang w:val="en-GB"/>
        </w:rPr>
        <w:t xml:space="preserve">All the pre-intimation requirements have been consolidated under single bucket and the timeline for prior intimation for board meetings for these agendas has been standardised to at least 2 clear working days in advance (i.e., excluding the date of the intimation and date of the board meeting). </w:t>
      </w:r>
    </w:p>
    <w:p w14:paraId="36975F21" w14:textId="77777777" w:rsidR="00600DA0" w:rsidRPr="00600DA0" w:rsidRDefault="00600DA0" w:rsidP="00450CA6">
      <w:pPr>
        <w:pStyle w:val="ListParagraph"/>
        <w:numPr>
          <w:ilvl w:val="1"/>
          <w:numId w:val="49"/>
        </w:numPr>
        <w:spacing w:before="120" w:after="240" w:line="240" w:lineRule="exact"/>
        <w:ind w:left="720"/>
        <w:contextualSpacing w:val="0"/>
        <w:jc w:val="both"/>
        <w:rPr>
          <w:rFonts w:ascii="Khaitan" w:hAnsi="Khaitan" w:cstheme="majorHAnsi"/>
          <w:b w:val="0"/>
          <w:lang w:val="en-GB"/>
        </w:rPr>
      </w:pPr>
      <w:r w:rsidRPr="00600DA0">
        <w:rPr>
          <w:rFonts w:ascii="Khaitan" w:hAnsi="Khaitan" w:cstheme="majorHAnsi"/>
          <w:b w:val="0"/>
          <w:lang w:val="en-GB"/>
        </w:rPr>
        <w:t>Key impact of the above change is that there is reduction in advance notice period: (</w:t>
      </w:r>
      <w:proofErr w:type="spellStart"/>
      <w:r w:rsidRPr="00600DA0">
        <w:rPr>
          <w:rFonts w:ascii="Khaitan" w:hAnsi="Khaitan" w:cstheme="majorHAnsi"/>
          <w:b w:val="0"/>
          <w:lang w:val="en-GB"/>
        </w:rPr>
        <w:t>i</w:t>
      </w:r>
      <w:proofErr w:type="spellEnd"/>
      <w:r w:rsidRPr="00600DA0">
        <w:rPr>
          <w:rFonts w:ascii="Khaitan" w:hAnsi="Khaitan" w:cstheme="majorHAnsi"/>
          <w:b w:val="0"/>
          <w:lang w:val="en-GB"/>
        </w:rPr>
        <w:t xml:space="preserve">) from 11 working days to aforementioned 2 clear working days, for board meeting agenda items </w:t>
      </w:r>
      <w:r w:rsidRPr="00600DA0">
        <w:rPr>
          <w:rFonts w:ascii="Khaitan" w:hAnsi="Khaitan" w:cstheme="majorHAnsi"/>
          <w:b w:val="0"/>
          <w:lang w:val="en-GB"/>
        </w:rPr>
        <w:lastRenderedPageBreak/>
        <w:t xml:space="preserve">like alteration in form / nature or rights of any listed security and alteration in date on which interest on debentures / bonds or redemption amounts of redeemable shares / debentures / bonds are payable; and (ii) from 5 days to aforementioned 2 clear working days for board meetings with financial results as the agenda. </w:t>
      </w:r>
    </w:p>
    <w:p w14:paraId="14F85EB9" w14:textId="45037C4C" w:rsidR="00600DA0" w:rsidRPr="00450CA6" w:rsidRDefault="00600DA0" w:rsidP="00450CA6">
      <w:pPr>
        <w:pStyle w:val="ListParagraph"/>
        <w:numPr>
          <w:ilvl w:val="1"/>
          <w:numId w:val="49"/>
        </w:numPr>
        <w:spacing w:before="120" w:after="240" w:line="240" w:lineRule="exact"/>
        <w:ind w:left="720"/>
        <w:contextualSpacing w:val="0"/>
        <w:jc w:val="both"/>
        <w:rPr>
          <w:rFonts w:ascii="Khaitan" w:hAnsi="Khaitan" w:cstheme="majorHAnsi"/>
          <w:b w:val="0"/>
          <w:lang w:val="en-GB"/>
        </w:rPr>
      </w:pPr>
      <w:r w:rsidRPr="00600DA0">
        <w:rPr>
          <w:rFonts w:ascii="Khaitan" w:hAnsi="Khaitan" w:cstheme="majorHAnsi"/>
          <w:b w:val="0"/>
          <w:lang w:val="en-GB"/>
        </w:rPr>
        <w:t xml:space="preserve">Additionally, </w:t>
      </w:r>
      <w:r w:rsidR="006C4104" w:rsidRPr="006C4104">
        <w:rPr>
          <w:rFonts w:ascii="Khaitan" w:hAnsi="Khaitan" w:cstheme="majorHAnsi"/>
          <w:b w:val="0"/>
          <w:lang w:val="en-GB"/>
        </w:rPr>
        <w:t>in a bid to enhance the ease of doing business</w:t>
      </w:r>
      <w:r w:rsidR="006C4104">
        <w:rPr>
          <w:rFonts w:ascii="Khaitan" w:hAnsi="Khaitan" w:cstheme="majorHAnsi"/>
          <w:b w:val="0"/>
          <w:lang w:val="en-GB"/>
        </w:rPr>
        <w:t xml:space="preserve"> and </w:t>
      </w:r>
      <w:r w:rsidRPr="00600DA0">
        <w:rPr>
          <w:rFonts w:ascii="Khaitan" w:hAnsi="Khaitan" w:cstheme="majorHAnsi"/>
          <w:b w:val="0"/>
          <w:lang w:val="en-GB"/>
        </w:rPr>
        <w:t>avoid multiple prior intimations, no prior intimation</w:t>
      </w:r>
      <w:r w:rsidR="006C4104">
        <w:rPr>
          <w:rFonts w:ascii="Khaitan" w:hAnsi="Khaitan" w:cstheme="majorHAnsi"/>
          <w:b w:val="0"/>
          <w:lang w:val="en-GB"/>
        </w:rPr>
        <w:t xml:space="preserve"> under Regulation 29 of the LODR</w:t>
      </w:r>
      <w:r w:rsidRPr="00600DA0">
        <w:rPr>
          <w:rFonts w:ascii="Khaitan" w:hAnsi="Khaitan" w:cstheme="majorHAnsi"/>
          <w:b w:val="0"/>
          <w:lang w:val="en-GB"/>
        </w:rPr>
        <w:t xml:space="preserve"> is required for issuance of security receipts, securitised debt instruments or money market instruments regulated by the Reserve Bank of India. Furthermore, the determination of issue price in qualified institutional placement has been excluded from the fund-raising requirement.</w:t>
      </w:r>
    </w:p>
    <w:p w14:paraId="1756A185" w14:textId="46214061" w:rsidR="00600DA0" w:rsidRPr="00600DA0" w:rsidRDefault="00600DA0" w:rsidP="00450CA6">
      <w:pPr>
        <w:pStyle w:val="ListParagraph"/>
        <w:numPr>
          <w:ilvl w:val="0"/>
          <w:numId w:val="46"/>
        </w:numPr>
        <w:spacing w:before="120" w:after="240" w:line="240" w:lineRule="exact"/>
        <w:jc w:val="both"/>
        <w:rPr>
          <w:rFonts w:ascii="Khaitan" w:hAnsi="Khaitan" w:cstheme="majorHAnsi"/>
          <w:b w:val="0"/>
          <w:lang w:val="en-GB"/>
        </w:rPr>
      </w:pPr>
      <w:r w:rsidRPr="002F5089">
        <w:rPr>
          <w:rFonts w:ascii="Khaitan" w:hAnsi="Khaitan" w:cs="Gotham Light"/>
          <w:b w:val="0"/>
          <w:color w:val="0075BE"/>
          <w:lang w:val="en-GB"/>
        </w:rPr>
        <w:t>Timeline for filing vacancy of certain offices</w:t>
      </w:r>
      <w:r w:rsidRPr="00600DA0">
        <w:rPr>
          <w:rFonts w:ascii="Khaitan" w:hAnsi="Khaitan" w:cstheme="majorHAnsi"/>
          <w:b w:val="0"/>
          <w:lang w:val="en-GB"/>
        </w:rPr>
        <w:t xml:space="preserve">: </w:t>
      </w:r>
      <w:r w:rsidR="00450CA6">
        <w:rPr>
          <w:rFonts w:ascii="Khaitan" w:hAnsi="Khaitan" w:cstheme="majorHAnsi"/>
          <w:b w:val="0"/>
          <w:lang w:val="en-GB"/>
        </w:rPr>
        <w:tab/>
      </w:r>
      <w:r w:rsidR="00450CA6">
        <w:rPr>
          <w:rFonts w:ascii="Khaitan" w:hAnsi="Khaitan" w:cstheme="majorHAnsi"/>
          <w:b w:val="0"/>
          <w:lang w:val="en-GB"/>
        </w:rPr>
        <w:br/>
      </w:r>
      <w:r w:rsidR="00450CA6">
        <w:rPr>
          <w:rFonts w:ascii="Khaitan" w:hAnsi="Khaitan" w:cstheme="majorHAnsi"/>
          <w:b w:val="0"/>
          <w:lang w:val="en-GB"/>
        </w:rPr>
        <w:br/>
      </w:r>
      <w:r w:rsidRPr="00600DA0">
        <w:rPr>
          <w:rFonts w:ascii="Khaitan" w:hAnsi="Khaitan" w:cstheme="majorHAnsi"/>
          <w:b w:val="0"/>
          <w:lang w:val="en-GB"/>
        </w:rPr>
        <w:t xml:space="preserve">By way of amendment last year, vacancy in the office of director and certain KMPs (being chief executive officer, managing director, whole time director, manager, and chief financial officer) was required to be filled within 3 months from the date of vacancy. Listed entities found it difficult to meet this timeline, especially when approval was required from regulators for any such requirements. LODR Amendment now gives 6 months’ timeline for filling such position if any regulatory approval is required for such appointment. It is helpful for listed entities where prior approval is required, such as security clearance for appointment of person who is a national of a country which shares land border with India. </w:t>
      </w:r>
    </w:p>
    <w:p w14:paraId="717F3BA3" w14:textId="77777777" w:rsidR="00600DA0" w:rsidRPr="00600DA0" w:rsidRDefault="00600DA0" w:rsidP="00450CA6">
      <w:pPr>
        <w:pStyle w:val="ListParagraph"/>
        <w:spacing w:before="120" w:after="240" w:line="240" w:lineRule="exact"/>
        <w:ind w:left="360"/>
        <w:jc w:val="both"/>
        <w:rPr>
          <w:rFonts w:ascii="Khaitan" w:hAnsi="Khaitan" w:cstheme="majorHAnsi"/>
          <w:b w:val="0"/>
          <w:lang w:val="en-GB"/>
        </w:rPr>
      </w:pPr>
    </w:p>
    <w:p w14:paraId="391FD1A1" w14:textId="234F3999" w:rsidR="00600DA0" w:rsidRPr="00600DA0" w:rsidRDefault="00600DA0" w:rsidP="00600DA0">
      <w:pPr>
        <w:pStyle w:val="ListParagraph"/>
        <w:numPr>
          <w:ilvl w:val="0"/>
          <w:numId w:val="46"/>
        </w:numPr>
        <w:spacing w:before="120" w:after="240" w:line="240" w:lineRule="exact"/>
        <w:jc w:val="both"/>
        <w:rPr>
          <w:rFonts w:ascii="Khaitan" w:hAnsi="Khaitan" w:cstheme="majorHAnsi"/>
          <w:b w:val="0"/>
          <w:lang w:val="en-GB"/>
        </w:rPr>
      </w:pPr>
      <w:r w:rsidRPr="002F5089">
        <w:rPr>
          <w:rFonts w:ascii="Khaitan" w:hAnsi="Khaitan" w:cs="Gotham Light"/>
          <w:b w:val="0"/>
          <w:color w:val="0075BE"/>
          <w:lang w:val="en-GB"/>
        </w:rPr>
        <w:t>Time gap between meetings of risk management committee</w:t>
      </w:r>
      <w:r w:rsidRPr="00600DA0">
        <w:rPr>
          <w:rFonts w:ascii="Khaitan" w:hAnsi="Khaitan" w:cstheme="majorHAnsi"/>
          <w:b w:val="0"/>
          <w:lang w:val="en-GB"/>
        </w:rPr>
        <w:t xml:space="preserve">: </w:t>
      </w:r>
      <w:r w:rsidR="00450CA6">
        <w:rPr>
          <w:rFonts w:ascii="Khaitan" w:hAnsi="Khaitan" w:cstheme="majorHAnsi"/>
          <w:b w:val="0"/>
          <w:lang w:val="en-GB"/>
        </w:rPr>
        <w:tab/>
      </w:r>
      <w:r w:rsidR="00450CA6">
        <w:rPr>
          <w:rFonts w:ascii="Khaitan" w:hAnsi="Khaitan" w:cstheme="majorHAnsi"/>
          <w:b w:val="0"/>
          <w:lang w:val="en-GB"/>
        </w:rPr>
        <w:br/>
      </w:r>
      <w:r w:rsidR="00450CA6">
        <w:rPr>
          <w:rFonts w:ascii="Khaitan" w:hAnsi="Khaitan" w:cstheme="majorHAnsi"/>
          <w:b w:val="0"/>
          <w:lang w:val="en-GB"/>
        </w:rPr>
        <w:br/>
      </w:r>
      <w:r w:rsidRPr="00600DA0">
        <w:rPr>
          <w:rFonts w:ascii="Khaitan" w:hAnsi="Khaitan" w:cstheme="majorHAnsi"/>
          <w:b w:val="0"/>
          <w:lang w:val="en-GB"/>
        </w:rPr>
        <w:t xml:space="preserve">The maximum time gap between the meetings of risk management committee (RMC) has been increased from 180 days (6 months) to 210 days (7 months). The Expert Committee observed that the legislative intent was to ensure 2 meetings of the RMC during a year, however, compliance with the strict letter of the law resulted in 3 meetings of the RMC during a year. Accordingly, an increase in the time gap was proposed in the EODB Consultation Paper to address the anomaly. </w:t>
      </w:r>
    </w:p>
    <w:p w14:paraId="14B9D93E" w14:textId="77777777" w:rsidR="00600DA0" w:rsidRPr="00600DA0" w:rsidRDefault="00600DA0" w:rsidP="00600DA0">
      <w:pPr>
        <w:spacing w:before="120" w:after="240" w:line="240" w:lineRule="exact"/>
        <w:jc w:val="both"/>
        <w:rPr>
          <w:rFonts w:ascii="Khaitan" w:hAnsi="Khaitan" w:cs="Gotham Book"/>
          <w:b w:val="0"/>
          <w:caps/>
          <w:color w:val="E8425C"/>
          <w:sz w:val="26"/>
          <w:szCs w:val="26"/>
          <w:lang w:val="en-GB"/>
        </w:rPr>
      </w:pPr>
      <w:r w:rsidRPr="00600DA0">
        <w:rPr>
          <w:rFonts w:ascii="Khaitan" w:hAnsi="Khaitan" w:cs="Gotham Book"/>
          <w:b w:val="0"/>
          <w:caps/>
          <w:color w:val="E8425C"/>
          <w:sz w:val="26"/>
          <w:szCs w:val="26"/>
          <w:lang w:val="en-GB"/>
        </w:rPr>
        <w:t>Conclusion</w:t>
      </w:r>
    </w:p>
    <w:p w14:paraId="38CFEB80" w14:textId="77777777" w:rsidR="00600DA0" w:rsidRPr="00600DA0" w:rsidRDefault="00600DA0" w:rsidP="00600DA0">
      <w:pPr>
        <w:spacing w:before="120" w:after="240" w:line="240" w:lineRule="exact"/>
        <w:jc w:val="both"/>
        <w:rPr>
          <w:rFonts w:ascii="Khaitan" w:hAnsi="Khaitan"/>
          <w:b w:val="0"/>
          <w:lang w:val="en-GB"/>
        </w:rPr>
      </w:pPr>
      <w:r w:rsidRPr="00600DA0">
        <w:rPr>
          <w:rFonts w:ascii="Khaitan" w:hAnsi="Khaitan"/>
          <w:b w:val="0"/>
          <w:lang w:val="en-GB"/>
        </w:rPr>
        <w:t xml:space="preserve">In conclusion, the LODR Amendment represented a significant leap forward in fostering an industry-aware regulatory environment. These amendments, borne out of collaborative efforts between SEBI and the ISF, signify a concerted attempt to bridge the gap between regulatory mandates and practical implementation challenges faced by India Inc. By actively engaging with industry stakeholders through the ISF, SEBI has demonstrated its commitment to understanding the nuances of business operations and market intricacies. This collaborative approach ensures that regulatory changes are not just theoretical constructs but are tailored to facilitate seamless compliance and operational efficiency for listed entities. </w:t>
      </w:r>
    </w:p>
    <w:p w14:paraId="32F34E8D" w14:textId="1E26E9C6" w:rsidR="005230B6" w:rsidRPr="00DF132A" w:rsidRDefault="00600DA0" w:rsidP="00DF132A">
      <w:pPr>
        <w:spacing w:before="120" w:after="240" w:line="240" w:lineRule="exact"/>
        <w:jc w:val="both"/>
        <w:rPr>
          <w:rFonts w:ascii="Khaitan" w:hAnsi="Khaitan"/>
          <w:b w:val="0"/>
          <w:lang w:val="en-GB"/>
        </w:rPr>
      </w:pPr>
      <w:r w:rsidRPr="00600DA0">
        <w:rPr>
          <w:rFonts w:ascii="Khaitan" w:hAnsi="Khaitan"/>
          <w:b w:val="0"/>
          <w:lang w:val="en-GB"/>
        </w:rPr>
        <w:t>Moreover, by fostering an environment conducive to smoother compliance procedures, the LODR Amendment contributes to enhancing the overall ease of doing business in India's financial markets. This, in turn, promotes investor confidence, stimulates investment flows, and bolsters economic growth by creating a more attractive and conducive ecosystem for businesses to thrive and expand.</w:t>
      </w:r>
    </w:p>
    <w:p w14:paraId="200D65BC" w14:textId="44D6F443" w:rsidR="005358FF" w:rsidRDefault="005132EC" w:rsidP="00DF132A">
      <w:pPr>
        <w:pStyle w:val="ListParagraph"/>
        <w:numPr>
          <w:ilvl w:val="0"/>
          <w:numId w:val="45"/>
        </w:numPr>
        <w:tabs>
          <w:tab w:val="center" w:pos="4513"/>
          <w:tab w:val="right" w:pos="9026"/>
        </w:tabs>
        <w:spacing w:before="120" w:after="200" w:line="240" w:lineRule="exact"/>
        <w:ind w:left="180" w:hanging="180"/>
        <w:contextualSpacing w:val="0"/>
        <w:jc w:val="both"/>
        <w:rPr>
          <w:rFonts w:ascii="Khaitan" w:hAnsi="Khaitan"/>
          <w:b w:val="0"/>
          <w:i/>
          <w:iCs/>
        </w:rPr>
      </w:pPr>
      <w:r w:rsidRPr="005132EC">
        <w:rPr>
          <w:rFonts w:ascii="Khaitan" w:hAnsi="Khaitan"/>
          <w:b w:val="0"/>
          <w:i/>
          <w:iCs/>
        </w:rPr>
        <w:t>Sudhir Bassi</w:t>
      </w:r>
      <w:r>
        <w:rPr>
          <w:rFonts w:ascii="Khaitan" w:hAnsi="Khaitan"/>
          <w:b w:val="0"/>
          <w:i/>
          <w:iCs/>
        </w:rPr>
        <w:t xml:space="preserve"> (Executive Director)</w:t>
      </w:r>
      <w:r w:rsidR="009E6FFA">
        <w:rPr>
          <w:rFonts w:ascii="Khaitan" w:hAnsi="Khaitan"/>
          <w:b w:val="0"/>
          <w:i/>
          <w:iCs/>
        </w:rPr>
        <w:t xml:space="preserve"> and</w:t>
      </w:r>
      <w:r>
        <w:rPr>
          <w:rFonts w:ascii="Khaitan" w:hAnsi="Khaitan"/>
          <w:b w:val="0"/>
          <w:i/>
          <w:iCs/>
        </w:rPr>
        <w:t xml:space="preserve"> </w:t>
      </w:r>
      <w:r w:rsidR="007271CC" w:rsidRPr="007271CC">
        <w:rPr>
          <w:rFonts w:ascii="Khaitan" w:hAnsi="Khaitan"/>
          <w:b w:val="0"/>
          <w:i/>
          <w:iCs/>
        </w:rPr>
        <w:t>Saranya Mishra</w:t>
      </w:r>
      <w:r w:rsidR="007271CC">
        <w:rPr>
          <w:rFonts w:ascii="Khaitan" w:hAnsi="Khaitan"/>
          <w:b w:val="0"/>
          <w:i/>
          <w:iCs/>
        </w:rPr>
        <w:t xml:space="preserve"> (Senior Associate)</w:t>
      </w:r>
      <w:r w:rsidR="009E6FFA">
        <w:rPr>
          <w:rFonts w:ascii="Khaitan" w:hAnsi="Khaitan"/>
          <w:b w:val="0"/>
          <w:i/>
          <w:iCs/>
        </w:rPr>
        <w:t>.</w:t>
      </w:r>
      <w:r w:rsidR="007271CC">
        <w:rPr>
          <w:rFonts w:ascii="Khaitan" w:hAnsi="Khaitan"/>
          <w:b w:val="0"/>
          <w:i/>
          <w:iCs/>
        </w:rPr>
        <w:t xml:space="preserve"> </w:t>
      </w:r>
    </w:p>
    <w:p w14:paraId="129ACA0F" w14:textId="2E2580E7" w:rsidR="00BE6AD5" w:rsidRPr="00BE6AD5" w:rsidRDefault="00491299" w:rsidP="00DF132A">
      <w:pPr>
        <w:tabs>
          <w:tab w:val="center" w:pos="4513"/>
          <w:tab w:val="right" w:pos="9026"/>
        </w:tabs>
        <w:spacing w:before="120" w:after="200" w:line="240" w:lineRule="exact"/>
        <w:jc w:val="both"/>
        <w:rPr>
          <w:rFonts w:ascii="Khaitan" w:hAnsi="Khaitan"/>
          <w:b w:val="0"/>
          <w:i/>
          <w:iCs/>
        </w:rPr>
      </w:pPr>
      <w:r w:rsidRPr="00491299">
        <w:rPr>
          <w:rFonts w:ascii="Khaitan" w:hAnsi="Khaitan"/>
          <w:b w:val="0"/>
          <w:i/>
          <w:iCs/>
        </w:rPr>
        <w:t xml:space="preserve">For any queries please contact: </w:t>
      </w:r>
      <w:hyperlink r:id="rId25" w:history="1">
        <w:r w:rsidR="00DF132A" w:rsidRPr="00F70995">
          <w:rPr>
            <w:rStyle w:val="Hyperlink"/>
            <w:rFonts w:ascii="Khaitan" w:hAnsi="Khaitan"/>
            <w:b w:val="0"/>
            <w:i/>
            <w:iCs/>
          </w:rPr>
          <w:t>editors@khaitanco.com</w:t>
        </w:r>
      </w:hyperlink>
      <w:r w:rsidR="00DF132A">
        <w:rPr>
          <w:rFonts w:ascii="Khaitan" w:hAnsi="Khaitan"/>
          <w:b w:val="0"/>
          <w:i/>
          <w:iCs/>
        </w:rPr>
        <w:t xml:space="preserve"> </w:t>
      </w:r>
    </w:p>
    <w:p w14:paraId="682F146F" w14:textId="77777777" w:rsidR="00D36336" w:rsidRDefault="00D36336" w:rsidP="00F70E7B">
      <w:pPr>
        <w:spacing w:before="120" w:after="240" w:line="240" w:lineRule="auto"/>
        <w:ind w:right="-250"/>
        <w:jc w:val="both"/>
        <w:rPr>
          <w:rFonts w:ascii="Khaitan" w:hAnsi="Khaitan" w:cstheme="majorHAnsi"/>
          <w:b w:val="0"/>
          <w:bCs/>
        </w:rPr>
        <w:sectPr w:rsidR="00D36336" w:rsidSect="009E6FFA">
          <w:type w:val="continuous"/>
          <w:pgSz w:w="11900" w:h="16840" w:code="9"/>
          <w:pgMar w:top="1138" w:right="720" w:bottom="850" w:left="562" w:header="562" w:footer="288" w:gutter="0"/>
          <w:pgNumType w:start="2"/>
          <w:cols w:num="2" w:space="720"/>
          <w:docGrid w:linePitch="360"/>
        </w:sectPr>
      </w:pPr>
    </w:p>
    <w:p w14:paraId="0F781C16" w14:textId="06D4E19D" w:rsidR="00ED377E" w:rsidRDefault="00F70E7B" w:rsidP="005A306A">
      <w:pPr>
        <w:spacing w:before="120" w:after="240" w:line="240" w:lineRule="auto"/>
        <w:ind w:right="-250"/>
        <w:jc w:val="both"/>
        <w:rPr>
          <w:rFonts w:ascii="Khaitan" w:eastAsia="Times New Roman" w:hAnsi="Khaitan"/>
          <w:b w:val="0"/>
        </w:rPr>
        <w:sectPr w:rsidR="00ED377E" w:rsidSect="0075612C">
          <w:type w:val="continuous"/>
          <w:pgSz w:w="11900" w:h="16840" w:code="9"/>
          <w:pgMar w:top="1138" w:right="720" w:bottom="850" w:left="562" w:header="562" w:footer="288" w:gutter="0"/>
          <w:pgNumType w:start="1"/>
          <w:cols w:space="720"/>
          <w:titlePg/>
          <w:docGrid w:linePitch="360"/>
        </w:sectPr>
      </w:pPr>
      <w:r>
        <w:rPr>
          <w:rFonts w:ascii="Khaitan" w:hAnsi="Khaitan" w:cstheme="majorHAnsi"/>
          <w:b w:val="0"/>
          <w:bCs/>
        </w:rPr>
        <w:t xml:space="preserve"> </w:t>
      </w:r>
    </w:p>
    <w:bookmarkEnd w:id="1"/>
    <w:p w14:paraId="38FDF58B" w14:textId="77777777" w:rsidR="005759D9" w:rsidRDefault="005759D9" w:rsidP="005A306A">
      <w:pPr>
        <w:spacing w:after="200" w:line="240" w:lineRule="auto"/>
        <w:jc w:val="both"/>
        <w:rPr>
          <w:rFonts w:ascii="Khaitan" w:hAnsi="Khaitan" w:cs="Calibri"/>
          <w:b w:val="0"/>
          <w:sz w:val="17"/>
          <w:szCs w:val="17"/>
          <w:lang w:val="en-US"/>
        </w:rPr>
        <w:sectPr w:rsidR="005759D9" w:rsidSect="00D25AFC">
          <w:type w:val="continuous"/>
          <w:pgSz w:w="11900" w:h="16840" w:code="9"/>
          <w:pgMar w:top="1138" w:right="720" w:bottom="850" w:left="562" w:header="562" w:footer="288" w:gutter="0"/>
          <w:pgNumType w:start="1"/>
          <w:cols w:space="340"/>
          <w:titlePg/>
          <w:docGrid w:linePitch="360"/>
        </w:sectPr>
      </w:pPr>
    </w:p>
    <w:p w14:paraId="287FF17B" w14:textId="77777777" w:rsidR="009D4574" w:rsidRPr="009D4574" w:rsidRDefault="009D4574" w:rsidP="005A306A">
      <w:pPr>
        <w:tabs>
          <w:tab w:val="left" w:pos="360"/>
        </w:tabs>
        <w:suppressAutoHyphens/>
        <w:autoSpaceDE w:val="0"/>
        <w:autoSpaceDN w:val="0"/>
        <w:adjustRightInd w:val="0"/>
        <w:spacing w:after="0" w:line="240" w:lineRule="auto"/>
        <w:textAlignment w:val="center"/>
        <w:rPr>
          <w:rFonts w:ascii="Khaitan" w:hAnsi="Khaitan" w:cs="Gotham Book"/>
          <w:b w:val="0"/>
          <w:color w:val="272726"/>
          <w:spacing w:val="16"/>
          <w:sz w:val="32"/>
          <w:szCs w:val="32"/>
          <w:lang w:val="en-GB"/>
        </w:rPr>
      </w:pPr>
      <w:r w:rsidRPr="009D4574">
        <w:rPr>
          <w:rFonts w:ascii="Khaitan" w:hAnsi="Khaitan" w:cs="Gotham Book"/>
          <w:b w:val="0"/>
          <w:color w:val="272726"/>
          <w:spacing w:val="16"/>
          <w:sz w:val="32"/>
          <w:szCs w:val="32"/>
          <w:lang w:val="en-GB"/>
        </w:rPr>
        <w:lastRenderedPageBreak/>
        <w:t>AMBITION STATEMENT</w:t>
      </w:r>
    </w:p>
    <w:p w14:paraId="124BFF99" w14:textId="77777777" w:rsidR="009D4574" w:rsidRPr="009D4574" w:rsidRDefault="009D4574" w:rsidP="005A306A">
      <w:pPr>
        <w:suppressAutoHyphens/>
        <w:autoSpaceDE w:val="0"/>
        <w:autoSpaceDN w:val="0"/>
        <w:adjustRightInd w:val="0"/>
        <w:spacing w:after="0" w:line="240" w:lineRule="auto"/>
        <w:textAlignment w:val="center"/>
        <w:rPr>
          <w:rFonts w:ascii="Khaitan" w:hAnsi="Khaitan" w:cs="Calibri"/>
          <w:b w:val="0"/>
          <w:i/>
          <w:iCs/>
          <w:color w:val="575756"/>
          <w:spacing w:val="6"/>
          <w:sz w:val="28"/>
          <w:szCs w:val="28"/>
          <w:lang w:val="en-GB"/>
        </w:rPr>
      </w:pPr>
    </w:p>
    <w:p w14:paraId="4AF862D2" w14:textId="71E5E0DE" w:rsidR="00033923" w:rsidRPr="009D4574" w:rsidRDefault="009D4574" w:rsidP="005A306A">
      <w:pPr>
        <w:suppressAutoHyphens/>
        <w:autoSpaceDE w:val="0"/>
        <w:autoSpaceDN w:val="0"/>
        <w:adjustRightInd w:val="0"/>
        <w:spacing w:after="200" w:line="240" w:lineRule="auto"/>
        <w:ind w:right="1701"/>
        <w:textAlignment w:val="center"/>
        <w:rPr>
          <w:rFonts w:ascii="Khaitan" w:hAnsi="Khaitan"/>
          <w:b w:val="0"/>
        </w:rPr>
      </w:pPr>
      <w:r w:rsidRPr="009D4574">
        <w:rPr>
          <w:rFonts w:ascii="Khaitan" w:hAnsi="Khaitan" w:cs="Calibri"/>
          <w:b w:val="0"/>
          <w:i/>
          <w:iCs/>
          <w:color w:val="575756"/>
          <w:spacing w:val="6"/>
          <w:sz w:val="28"/>
          <w:szCs w:val="28"/>
          <w:lang w:val="en-GB"/>
        </w:rPr>
        <w:t xml:space="preserve">“Our ambition is to be </w:t>
      </w:r>
      <w:r w:rsidRPr="005759D9">
        <w:rPr>
          <w:rFonts w:ascii="Khaitan" w:hAnsi="Khaitan" w:cs="Calibri"/>
          <w:b w:val="0"/>
          <w:i/>
          <w:iCs/>
          <w:color w:val="575756"/>
          <w:spacing w:val="6"/>
          <w:sz w:val="28"/>
          <w:szCs w:val="28"/>
          <w:lang w:val="en-GB"/>
        </w:rPr>
        <w:t>a respectable</w:t>
      </w:r>
      <w:r w:rsidRPr="009D4574">
        <w:rPr>
          <w:rFonts w:ascii="Khaitan" w:hAnsi="Khaitan" w:cs="Calibri"/>
          <w:b w:val="0"/>
          <w:i/>
          <w:iCs/>
          <w:color w:val="575756"/>
          <w:spacing w:val="6"/>
          <w:sz w:val="28"/>
          <w:szCs w:val="28"/>
          <w:lang w:val="en-GB"/>
        </w:rPr>
        <w:t xml:space="preserve"> law firm providing efficient and courteous service, to act with fairness, integrity and diligence, to be socially responsible and to enjoy life. We should put greater emphasis on working in consonance with our aforesaid values than on maximizing earnings. Earn we should but with dignity and pleasure.”</w:t>
      </w:r>
    </w:p>
    <w:p w14:paraId="6A6B9783" w14:textId="3CA05EE5" w:rsidR="00033923" w:rsidRDefault="00033923" w:rsidP="005A306A">
      <w:pPr>
        <w:spacing w:after="120" w:line="240" w:lineRule="auto"/>
        <w:rPr>
          <w:rFonts w:ascii="Calibri" w:hAnsi="Calibri"/>
          <w:b w:val="0"/>
        </w:rPr>
      </w:pPr>
    </w:p>
    <w:p w14:paraId="6F655D04" w14:textId="1EAE5CE3" w:rsidR="00033923" w:rsidRDefault="00033923" w:rsidP="005A306A">
      <w:pPr>
        <w:spacing w:after="120" w:line="240" w:lineRule="auto"/>
        <w:rPr>
          <w:rFonts w:ascii="Calibri" w:hAnsi="Calibri"/>
          <w:b w:val="0"/>
        </w:rPr>
      </w:pPr>
    </w:p>
    <w:p w14:paraId="222E42D0" w14:textId="63C5F0F0" w:rsidR="00033923" w:rsidRDefault="00033923" w:rsidP="005A306A">
      <w:pPr>
        <w:spacing w:after="120" w:line="240" w:lineRule="auto"/>
        <w:rPr>
          <w:rFonts w:ascii="Calibri" w:hAnsi="Calibri"/>
          <w:b w:val="0"/>
        </w:rPr>
      </w:pPr>
    </w:p>
    <w:p w14:paraId="3BB91D0D" w14:textId="386026CD" w:rsidR="00033923" w:rsidRDefault="00033923" w:rsidP="005A306A">
      <w:pPr>
        <w:spacing w:after="120" w:line="240" w:lineRule="auto"/>
        <w:rPr>
          <w:rFonts w:ascii="Calibri" w:hAnsi="Calibri"/>
          <w:b w:val="0"/>
        </w:rPr>
      </w:pPr>
    </w:p>
    <w:p w14:paraId="5BBD639B" w14:textId="0BA3290C" w:rsidR="0057646F" w:rsidRDefault="0057646F" w:rsidP="005A306A">
      <w:pPr>
        <w:spacing w:after="120" w:line="240" w:lineRule="auto"/>
        <w:rPr>
          <w:rFonts w:ascii="Calibri" w:hAnsi="Calibri"/>
          <w:b w:val="0"/>
        </w:rPr>
      </w:pPr>
    </w:p>
    <w:p w14:paraId="0D6A6EE1" w14:textId="472C6616" w:rsidR="0057646F" w:rsidRDefault="0057646F" w:rsidP="005A306A">
      <w:pPr>
        <w:spacing w:after="120" w:line="240" w:lineRule="auto"/>
        <w:rPr>
          <w:rFonts w:ascii="Calibri" w:hAnsi="Calibri"/>
          <w:b w:val="0"/>
        </w:rPr>
      </w:pPr>
    </w:p>
    <w:p w14:paraId="0D552440" w14:textId="165C5EF4" w:rsidR="0057646F" w:rsidRDefault="0057646F" w:rsidP="005A306A">
      <w:pPr>
        <w:spacing w:after="120" w:line="240" w:lineRule="auto"/>
        <w:rPr>
          <w:rFonts w:ascii="Calibri" w:hAnsi="Calibri"/>
          <w:b w:val="0"/>
        </w:rPr>
      </w:pPr>
    </w:p>
    <w:p w14:paraId="70B376DA" w14:textId="74EB95D0" w:rsidR="0057646F" w:rsidRDefault="0057646F" w:rsidP="005A306A">
      <w:pPr>
        <w:spacing w:after="120" w:line="240" w:lineRule="auto"/>
        <w:rPr>
          <w:rFonts w:ascii="Calibri" w:hAnsi="Calibri"/>
          <w:b w:val="0"/>
        </w:rPr>
      </w:pPr>
    </w:p>
    <w:p w14:paraId="0CDF4D11" w14:textId="6D9C4C6E" w:rsidR="009C7FAD" w:rsidRDefault="009C7FAD" w:rsidP="005A306A">
      <w:pPr>
        <w:spacing w:after="120" w:line="240" w:lineRule="auto"/>
        <w:rPr>
          <w:rFonts w:ascii="Calibri" w:hAnsi="Calibri"/>
          <w:b w:val="0"/>
        </w:rPr>
      </w:pPr>
    </w:p>
    <w:p w14:paraId="202D0E33" w14:textId="7B868647" w:rsidR="009C7FAD" w:rsidRDefault="009C7FAD" w:rsidP="005A306A">
      <w:pPr>
        <w:spacing w:after="120" w:line="240" w:lineRule="auto"/>
        <w:rPr>
          <w:rFonts w:ascii="Calibri" w:hAnsi="Calibri"/>
          <w:b w:val="0"/>
        </w:rPr>
      </w:pPr>
    </w:p>
    <w:p w14:paraId="72DA4421" w14:textId="3A74AD62" w:rsidR="009C7FAD" w:rsidRDefault="009C7FAD" w:rsidP="005A306A">
      <w:pPr>
        <w:spacing w:after="120" w:line="240" w:lineRule="auto"/>
        <w:rPr>
          <w:rFonts w:ascii="Calibri" w:hAnsi="Calibri"/>
          <w:b w:val="0"/>
        </w:rPr>
      </w:pPr>
    </w:p>
    <w:p w14:paraId="292C6B22" w14:textId="77777777" w:rsidR="009C7FAD" w:rsidRDefault="009C7FAD" w:rsidP="005A306A">
      <w:pPr>
        <w:spacing w:after="120" w:line="240" w:lineRule="auto"/>
        <w:rPr>
          <w:rFonts w:ascii="Calibri" w:hAnsi="Calibri"/>
          <w:b w:val="0"/>
        </w:rPr>
      </w:pPr>
    </w:p>
    <w:p w14:paraId="452F55D7" w14:textId="43FD00A8" w:rsidR="0057646F" w:rsidRDefault="0057646F" w:rsidP="005A306A">
      <w:pPr>
        <w:spacing w:after="120" w:line="240" w:lineRule="auto"/>
        <w:rPr>
          <w:rFonts w:ascii="Calibri" w:hAnsi="Calibri"/>
          <w:b w:val="0"/>
        </w:rPr>
      </w:pPr>
    </w:p>
    <w:p w14:paraId="5C0F07EB" w14:textId="5DB0153F" w:rsidR="0057646F" w:rsidRDefault="0057646F" w:rsidP="005A306A">
      <w:pPr>
        <w:spacing w:after="120" w:line="240" w:lineRule="auto"/>
        <w:rPr>
          <w:rFonts w:ascii="Calibri" w:hAnsi="Calibri"/>
          <w:b w:val="0"/>
        </w:rPr>
      </w:pPr>
    </w:p>
    <w:p w14:paraId="472C02A7" w14:textId="7E6EA8AA" w:rsidR="00103DB0" w:rsidRDefault="00103DB0" w:rsidP="005A306A">
      <w:pPr>
        <w:spacing w:after="120" w:line="240" w:lineRule="auto"/>
        <w:rPr>
          <w:rFonts w:ascii="Calibri" w:hAnsi="Calibri"/>
          <w:b w:val="0"/>
        </w:rPr>
      </w:pPr>
    </w:p>
    <w:p w14:paraId="76498674" w14:textId="77777777" w:rsidR="00103DB0" w:rsidRDefault="00103DB0" w:rsidP="005A306A">
      <w:pPr>
        <w:spacing w:after="120" w:line="240" w:lineRule="auto"/>
        <w:rPr>
          <w:rFonts w:ascii="Calibri" w:hAnsi="Calibri"/>
          <w:b w:val="0"/>
        </w:rPr>
      </w:pPr>
    </w:p>
    <w:p w14:paraId="51F0397A" w14:textId="7AB83C19" w:rsidR="00033923" w:rsidRDefault="00033923" w:rsidP="005A306A">
      <w:pPr>
        <w:spacing w:after="120" w:line="240" w:lineRule="auto"/>
        <w:rPr>
          <w:rFonts w:ascii="Calibri" w:hAnsi="Calibri"/>
          <w:b w:val="0"/>
        </w:rPr>
      </w:pPr>
    </w:p>
    <w:p w14:paraId="08E677F5" w14:textId="77777777" w:rsidR="00103DB0" w:rsidRDefault="00103DB0" w:rsidP="005A306A">
      <w:pPr>
        <w:spacing w:after="120" w:line="240" w:lineRule="auto"/>
        <w:rPr>
          <w:rFonts w:ascii="Calibri" w:hAnsi="Calibri"/>
          <w:b w:val="0"/>
        </w:rPr>
      </w:pPr>
    </w:p>
    <w:p w14:paraId="178BE669" w14:textId="25FBCFDE" w:rsidR="00103DB0" w:rsidRDefault="00103DB0" w:rsidP="005A306A">
      <w:pPr>
        <w:spacing w:after="120" w:line="240" w:lineRule="auto"/>
        <w:rPr>
          <w:rFonts w:ascii="Calibri" w:hAnsi="Calibri"/>
          <w:b w:val="0"/>
        </w:rPr>
      </w:pPr>
    </w:p>
    <w:p w14:paraId="48622EA5" w14:textId="77777777" w:rsidR="008E5BE8" w:rsidRDefault="008E5BE8" w:rsidP="005A306A">
      <w:pPr>
        <w:spacing w:after="120" w:line="240" w:lineRule="auto"/>
        <w:rPr>
          <w:rFonts w:ascii="Calibri" w:hAnsi="Calibri"/>
          <w:b w:val="0"/>
        </w:rPr>
      </w:pPr>
    </w:p>
    <w:p w14:paraId="50F71D3C" w14:textId="332962BC" w:rsidR="00103DB0" w:rsidRDefault="00103DB0" w:rsidP="005A306A">
      <w:pPr>
        <w:spacing w:after="120" w:line="240" w:lineRule="auto"/>
        <w:rPr>
          <w:rFonts w:ascii="Khaitan" w:hAnsi="Khaitan"/>
          <w:b w:val="0"/>
        </w:rPr>
      </w:pPr>
    </w:p>
    <w:p w14:paraId="55BD9B44" w14:textId="77777777" w:rsidR="00103DB0" w:rsidRDefault="00103DB0" w:rsidP="005A306A">
      <w:pPr>
        <w:spacing w:after="120" w:line="240" w:lineRule="auto"/>
        <w:rPr>
          <w:rFonts w:ascii="Khaitan" w:hAnsi="Khaitan"/>
          <w:b w:val="0"/>
        </w:rPr>
      </w:pPr>
    </w:p>
    <w:p w14:paraId="36A45AF5" w14:textId="77777777" w:rsidR="00E16E9B" w:rsidRDefault="00E16E9B" w:rsidP="005A306A">
      <w:pPr>
        <w:spacing w:after="120" w:line="240" w:lineRule="auto"/>
        <w:rPr>
          <w:rFonts w:ascii="Khaitan" w:hAnsi="Khaitan"/>
          <w:b w:val="0"/>
        </w:rPr>
      </w:pPr>
    </w:p>
    <w:p w14:paraId="3808CCCD" w14:textId="77777777" w:rsidR="00E16E9B" w:rsidRDefault="00E16E9B" w:rsidP="005A306A">
      <w:pPr>
        <w:spacing w:after="120" w:line="240" w:lineRule="auto"/>
        <w:rPr>
          <w:rFonts w:ascii="Khaitan" w:hAnsi="Khaitan"/>
          <w:b w:val="0"/>
        </w:rPr>
      </w:pPr>
    </w:p>
    <w:p w14:paraId="21D5537B" w14:textId="77777777" w:rsidR="00E16E9B" w:rsidRDefault="00E16E9B" w:rsidP="005A306A">
      <w:pPr>
        <w:spacing w:after="120" w:line="240" w:lineRule="auto"/>
        <w:rPr>
          <w:rFonts w:ascii="Khaitan" w:hAnsi="Khaitan"/>
          <w:b w:val="0"/>
        </w:rPr>
      </w:pPr>
    </w:p>
    <w:p w14:paraId="118C6C0D" w14:textId="77777777" w:rsidR="00E16E9B" w:rsidRPr="00F10539" w:rsidRDefault="00E16E9B" w:rsidP="005A306A">
      <w:pPr>
        <w:spacing w:after="120" w:line="240" w:lineRule="auto"/>
        <w:rPr>
          <w:rFonts w:ascii="Khaitan" w:hAnsi="Khaitan"/>
          <w:b w:val="0"/>
        </w:rPr>
      </w:pPr>
    </w:p>
    <w:p w14:paraId="517E8BCF" w14:textId="7512C504" w:rsidR="009C7FAD" w:rsidRPr="00A16F79" w:rsidRDefault="00A16F79" w:rsidP="005A306A">
      <w:pPr>
        <w:spacing w:after="120" w:line="240" w:lineRule="auto"/>
        <w:rPr>
          <w:rFonts w:ascii="Khaitan" w:hAnsi="Khaitan" w:cs="Calibri"/>
          <w:b w:val="0"/>
          <w:color w:val="575756"/>
          <w:lang w:val="en-GB"/>
        </w:rPr>
      </w:pPr>
      <w:r w:rsidRPr="00A16F79">
        <w:rPr>
          <w:rFonts w:ascii="Khaitan" w:hAnsi="Khaitan" w:cs="Calibri"/>
          <w:b w:val="0"/>
          <w:color w:val="575756"/>
          <w:lang w:val="en-GB"/>
        </w:rPr>
        <w:lastRenderedPageBreak/>
        <w:t xml:space="preserve">Khaitan &amp; Co is a premier full-service Indian law firm with 25+ practice areas, over </w:t>
      </w:r>
      <w:r w:rsidR="004D3357">
        <w:rPr>
          <w:rFonts w:ascii="Khaitan" w:hAnsi="Khaitan" w:cs="Calibri"/>
          <w:b w:val="0"/>
          <w:color w:val="575756"/>
          <w:lang w:val="en-GB"/>
        </w:rPr>
        <w:t>1,000</w:t>
      </w:r>
      <w:r w:rsidRPr="00A16F79">
        <w:rPr>
          <w:rFonts w:ascii="Khaitan" w:hAnsi="Khaitan" w:cs="Calibri"/>
          <w:b w:val="0"/>
          <w:color w:val="575756"/>
          <w:lang w:val="en-GB"/>
        </w:rPr>
        <w:t xml:space="preserve"> lawyers, including </w:t>
      </w:r>
      <w:r w:rsidR="00815D86">
        <w:rPr>
          <w:rFonts w:ascii="Khaitan" w:hAnsi="Khaitan" w:cs="Calibri"/>
          <w:b w:val="0"/>
          <w:color w:val="575756"/>
          <w:lang w:val="en-GB"/>
        </w:rPr>
        <w:t>200</w:t>
      </w:r>
      <w:r w:rsidRPr="00A16F79">
        <w:rPr>
          <w:rFonts w:ascii="Khaitan" w:hAnsi="Khaitan" w:cs="Calibri"/>
          <w:b w:val="0"/>
          <w:color w:val="575756"/>
          <w:lang w:val="en-GB"/>
        </w:rPr>
        <w:t xml:space="preserve">+ partners. To know more about us, please visit </w:t>
      </w:r>
      <w:hyperlink r:id="rId26" w:history="1">
        <w:r w:rsidR="00E16E9B" w:rsidRPr="00977DF3">
          <w:rPr>
            <w:rStyle w:val="Hyperlink"/>
            <w:rFonts w:ascii="Khaitan" w:hAnsi="Khaitan" w:cs="Calibri"/>
            <w:b w:val="0"/>
            <w:lang w:val="en-GB"/>
          </w:rPr>
          <w:t>www.khaitanco.com</w:t>
        </w:r>
      </w:hyperlink>
      <w:r w:rsidR="00E16E9B">
        <w:rPr>
          <w:rFonts w:ascii="Khaitan" w:hAnsi="Khaitan" w:cs="Calibri"/>
          <w:b w:val="0"/>
          <w:color w:val="575756"/>
          <w:lang w:val="en-GB"/>
        </w:rPr>
        <w:t xml:space="preserve"> </w:t>
      </w:r>
    </w:p>
    <w:sectPr w:rsidR="009C7FAD" w:rsidRPr="00A16F79" w:rsidSect="00103DB0">
      <w:headerReference w:type="default" r:id="rId27"/>
      <w:footerReference w:type="default" r:id="rId28"/>
      <w:pgSz w:w="11900" w:h="16840" w:code="9"/>
      <w:pgMar w:top="567" w:right="567" w:bottom="567" w:left="567" w:header="567" w:footer="11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E7406" w14:textId="77777777" w:rsidR="0087773A" w:rsidRDefault="0087773A" w:rsidP="00826201">
      <w:pPr>
        <w:spacing w:line="240" w:lineRule="auto"/>
      </w:pPr>
      <w:r>
        <w:separator/>
      </w:r>
    </w:p>
  </w:endnote>
  <w:endnote w:type="continuationSeparator" w:id="0">
    <w:p w14:paraId="2186E10B" w14:textId="77777777" w:rsidR="0087773A" w:rsidRDefault="0087773A" w:rsidP="008262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Khaitan">
    <w:altName w:val="Calibri"/>
    <w:panose1 w:val="00000000000000000000"/>
    <w:charset w:val="00"/>
    <w:family w:val="modern"/>
    <w:notTrueType/>
    <w:pitch w:val="variable"/>
    <w:sig w:usb0="8000002F" w:usb1="4000000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19B"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altName w:val="Calibri"/>
    <w:charset w:val="00"/>
    <w:family w:val="auto"/>
    <w:pitch w:val="variable"/>
    <w:sig w:usb0="A10000FF" w:usb1="4000005B" w:usb2="00000000" w:usb3="00000000" w:csb0="0000019B"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140233"/>
      <w:docPartObj>
        <w:docPartGallery w:val="Page Numbers (Bottom of Page)"/>
        <w:docPartUnique/>
      </w:docPartObj>
    </w:sdtPr>
    <w:sdtEndPr>
      <w:rPr>
        <w:b w:val="0"/>
        <w:bCs/>
        <w:noProof/>
      </w:rPr>
    </w:sdtEndPr>
    <w:sdtContent>
      <w:p w14:paraId="330708E8" w14:textId="0FB268C1" w:rsidR="009A660E" w:rsidRPr="009A660E" w:rsidRDefault="009A660E">
        <w:pPr>
          <w:pStyle w:val="Footer"/>
          <w:jc w:val="right"/>
          <w:rPr>
            <w:b w:val="0"/>
            <w:bCs/>
          </w:rPr>
        </w:pPr>
        <w:r w:rsidRPr="009A660E">
          <w:rPr>
            <w:b w:val="0"/>
            <w:bCs/>
          </w:rPr>
          <w:fldChar w:fldCharType="begin"/>
        </w:r>
        <w:r w:rsidRPr="009A660E">
          <w:rPr>
            <w:b w:val="0"/>
            <w:bCs/>
          </w:rPr>
          <w:instrText xml:space="preserve"> PAGE   \* MERGEFORMAT </w:instrText>
        </w:r>
        <w:r w:rsidRPr="009A660E">
          <w:rPr>
            <w:b w:val="0"/>
            <w:bCs/>
          </w:rPr>
          <w:fldChar w:fldCharType="separate"/>
        </w:r>
        <w:r w:rsidRPr="009A660E">
          <w:rPr>
            <w:b w:val="0"/>
            <w:bCs/>
            <w:noProof/>
          </w:rPr>
          <w:t>2</w:t>
        </w:r>
        <w:r w:rsidRPr="009A660E">
          <w:rPr>
            <w:b w:val="0"/>
            <w:bCs/>
            <w:noProof/>
          </w:rPr>
          <w:fldChar w:fldCharType="end"/>
        </w:r>
      </w:p>
    </w:sdtContent>
  </w:sdt>
  <w:p w14:paraId="0E3C9A8B" w14:textId="6DBA1A96" w:rsidR="00976D75" w:rsidRPr="003F1A65" w:rsidRDefault="00976D75" w:rsidP="003F1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59359" w14:textId="109A87AB" w:rsidR="00976D75" w:rsidRDefault="009D40EB">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8CFB8" w14:textId="776DCC55" w:rsidR="00976D75" w:rsidRDefault="00976D75" w:rsidP="00AC1002">
    <w:pPr>
      <w:pStyle w:val="Footer"/>
      <w:rPr>
        <w:sz w:val="4"/>
        <w:szCs w:val="4"/>
      </w:rPr>
    </w:pPr>
    <w:r>
      <w:rPr>
        <w:rFonts w:ascii="Khaitan" w:hAnsi="Khaitan"/>
        <w:b w:val="0"/>
        <w:noProof/>
        <w:color w:val="7F7F7F" w:themeColor="text1" w:themeTint="80"/>
        <w:sz w:val="20"/>
        <w:szCs w:val="20"/>
      </w:rPr>
      <w:drawing>
        <wp:anchor distT="0" distB="0" distL="114300" distR="114300" simplePos="0" relativeHeight="251711488" behindDoc="0" locked="0" layoutInCell="1" allowOverlap="1" wp14:anchorId="650A92A3" wp14:editId="01AB2DF4">
          <wp:simplePos x="0" y="0"/>
          <wp:positionH relativeFrom="column">
            <wp:posOffset>6609739</wp:posOffset>
          </wp:positionH>
          <wp:positionV relativeFrom="paragraph">
            <wp:posOffset>-186055</wp:posOffset>
          </wp:positionV>
          <wp:extent cx="216000" cy="216000"/>
          <wp:effectExtent l="0" t="0" r="0" b="0"/>
          <wp:wrapSquare wrapText="bothSides"/>
          <wp:docPr id="339159648" name="Picture 339159648" descr="A close up of a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a:hlinkClick r:id="rId1"/>
                  </pic:cNvPr>
                  <pic:cNvPicPr/>
                </pic:nvPicPr>
                <pic:blipFill>
                  <a:blip r:embed="rId2"/>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Pr>
        <w:sz w:val="4"/>
        <w:szCs w:val="4"/>
      </w:rPr>
      <w:t>Q</w:t>
    </w:r>
  </w:p>
  <w:p w14:paraId="3C35B1AB" w14:textId="77777777" w:rsidR="00976D75" w:rsidRDefault="00976D75" w:rsidP="00AC1002">
    <w:pPr>
      <w:pStyle w:val="Footer"/>
      <w:rPr>
        <w:sz w:val="4"/>
        <w:szCs w:val="4"/>
      </w:rPr>
    </w:pPr>
  </w:p>
  <w:p w14:paraId="72EDAF34" w14:textId="77777777" w:rsidR="00976D75" w:rsidRDefault="00976D75" w:rsidP="00AC1002">
    <w:pPr>
      <w:pStyle w:val="Footer"/>
      <w:rPr>
        <w:sz w:val="4"/>
        <w:szCs w:val="4"/>
      </w:rPr>
    </w:pPr>
  </w:p>
  <w:p w14:paraId="2367660A" w14:textId="77777777" w:rsidR="00976D75" w:rsidRDefault="00976D75" w:rsidP="00AC1002">
    <w:pPr>
      <w:pStyle w:val="Footer"/>
      <w:rPr>
        <w:sz w:val="4"/>
        <w:szCs w:val="4"/>
      </w:rPr>
    </w:pPr>
  </w:p>
  <w:tbl>
    <w:tblPr>
      <w:tblStyle w:val="TableGrid"/>
      <w:tblW w:w="10773" w:type="dxa"/>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5386"/>
      <w:gridCol w:w="4537"/>
      <w:gridCol w:w="850"/>
    </w:tblGrid>
    <w:tr w:rsidR="00976D75" w:rsidRPr="00A42D4E" w14:paraId="425C7174" w14:textId="77777777" w:rsidTr="008D3964">
      <w:trPr>
        <w:trHeight w:hRule="exact" w:val="624"/>
      </w:trPr>
      <w:tc>
        <w:tcPr>
          <w:tcW w:w="5386" w:type="dxa"/>
        </w:tcPr>
        <w:p w14:paraId="50C242C2" w14:textId="77777777" w:rsidR="00976D75" w:rsidRPr="00A42D4E" w:rsidRDefault="00976D75" w:rsidP="00AC1002">
          <w:pPr>
            <w:pStyle w:val="Footer"/>
            <w:rPr>
              <w:rFonts w:ascii="Khaitan" w:hAnsi="Khaitan"/>
              <w:color w:val="7F7F7F" w:themeColor="text1" w:themeTint="80"/>
              <w:sz w:val="20"/>
              <w:szCs w:val="20"/>
            </w:rPr>
          </w:pPr>
        </w:p>
      </w:tc>
      <w:tc>
        <w:tcPr>
          <w:tcW w:w="4537" w:type="dxa"/>
        </w:tcPr>
        <w:p w14:paraId="7F3F72E2" w14:textId="599DCD78" w:rsidR="00976D75" w:rsidRPr="00A42D4E" w:rsidRDefault="00976D75" w:rsidP="00AC1002">
          <w:pPr>
            <w:pStyle w:val="Footer"/>
            <w:jc w:val="right"/>
            <w:rPr>
              <w:rFonts w:ascii="Khaitan" w:hAnsi="Khaitan"/>
              <w:b/>
              <w:color w:val="7F7F7F" w:themeColor="text1" w:themeTint="80"/>
              <w:sz w:val="20"/>
              <w:szCs w:val="20"/>
            </w:rPr>
          </w:pPr>
        </w:p>
      </w:tc>
      <w:tc>
        <w:tcPr>
          <w:tcW w:w="850" w:type="dxa"/>
        </w:tcPr>
        <w:p w14:paraId="4787DE00" w14:textId="381F3A55" w:rsidR="00976D75" w:rsidRPr="00A42D4E" w:rsidRDefault="00976D75" w:rsidP="00AC1002">
          <w:pPr>
            <w:pStyle w:val="Footer"/>
            <w:jc w:val="right"/>
            <w:rPr>
              <w:rFonts w:ascii="Khaitan" w:hAnsi="Khaitan"/>
              <w:color w:val="7F7F7F" w:themeColor="text1" w:themeTint="80"/>
              <w:sz w:val="20"/>
              <w:szCs w:val="20"/>
            </w:rPr>
          </w:pPr>
          <w:r w:rsidRPr="00A42D4E">
            <w:rPr>
              <w:rFonts w:ascii="Khaitan" w:hAnsi="Khaitan"/>
              <w:color w:val="7F7F7F" w:themeColor="text1" w:themeTint="80"/>
              <w:sz w:val="20"/>
              <w:szCs w:val="20"/>
            </w:rPr>
            <w:fldChar w:fldCharType="begin"/>
          </w:r>
          <w:r w:rsidRPr="00A42D4E">
            <w:rPr>
              <w:rFonts w:ascii="Khaitan" w:hAnsi="Khaitan"/>
              <w:b/>
              <w:color w:val="7F7F7F" w:themeColor="text1" w:themeTint="80"/>
              <w:sz w:val="20"/>
              <w:szCs w:val="20"/>
            </w:rPr>
            <w:instrText xml:space="preserve"> PAGE   \* MERGEFORMAT </w:instrText>
          </w:r>
          <w:r w:rsidRPr="00A42D4E">
            <w:rPr>
              <w:rFonts w:ascii="Khaitan" w:hAnsi="Khaitan"/>
              <w:color w:val="7F7F7F" w:themeColor="text1" w:themeTint="80"/>
              <w:sz w:val="20"/>
              <w:szCs w:val="20"/>
            </w:rPr>
            <w:fldChar w:fldCharType="separate"/>
          </w:r>
          <w:r>
            <w:rPr>
              <w:rFonts w:ascii="Khaitan" w:hAnsi="Khaitan"/>
              <w:color w:val="7F7F7F" w:themeColor="text1" w:themeTint="80"/>
              <w:sz w:val="20"/>
              <w:szCs w:val="20"/>
            </w:rPr>
            <w:t>1</w:t>
          </w:r>
          <w:r w:rsidRPr="00A42D4E">
            <w:rPr>
              <w:rFonts w:ascii="Khaitan" w:hAnsi="Khaitan"/>
              <w:noProof/>
              <w:color w:val="7F7F7F" w:themeColor="text1" w:themeTint="80"/>
              <w:sz w:val="20"/>
              <w:szCs w:val="20"/>
            </w:rPr>
            <w:fldChar w:fldCharType="end"/>
          </w:r>
        </w:p>
      </w:tc>
    </w:tr>
  </w:tbl>
  <w:p w14:paraId="2975D299" w14:textId="1B098740" w:rsidR="00976D75" w:rsidRPr="00AC1002" w:rsidRDefault="00976D75" w:rsidP="00AC1002">
    <w:pPr>
      <w:pStyle w:val="Footer"/>
      <w:rPr>
        <w:sz w:val="4"/>
        <w:szCs w:val="4"/>
      </w:rPr>
    </w:pPr>
    <w:r w:rsidRPr="00A42D4E">
      <w:rPr>
        <w:rFonts w:ascii="Calibri" w:hAnsi="Calibri"/>
        <w:b w:val="0"/>
        <w:noProof/>
        <w:sz w:val="4"/>
        <w:szCs w:val="4"/>
      </w:rPr>
      <mc:AlternateContent>
        <mc:Choice Requires="wps">
          <w:drawing>
            <wp:anchor distT="0" distB="0" distL="114300" distR="114300" simplePos="0" relativeHeight="251704320" behindDoc="0" locked="0" layoutInCell="1" allowOverlap="1" wp14:anchorId="1A703CAD" wp14:editId="5ED48BF1">
              <wp:simplePos x="0" y="0"/>
              <wp:positionH relativeFrom="leftMargin">
                <wp:posOffset>-1714733</wp:posOffset>
              </wp:positionH>
              <wp:positionV relativeFrom="paragraph">
                <wp:posOffset>2740258</wp:posOffset>
              </wp:positionV>
              <wp:extent cx="4989347" cy="955040"/>
              <wp:effectExtent l="4763" t="0" r="6667" b="6668"/>
              <wp:wrapNone/>
              <wp:docPr id="26" name="Rectangle 26"/>
              <wp:cNvGraphicFramePr/>
              <a:graphic xmlns:a="http://schemas.openxmlformats.org/drawingml/2006/main">
                <a:graphicData uri="http://schemas.microsoft.com/office/word/2010/wordprocessingShape">
                  <wps:wsp>
                    <wps:cNvSpPr/>
                    <wps:spPr>
                      <a:xfrm rot="16200000">
                        <a:off x="0" y="0"/>
                        <a:ext cx="4989347" cy="9550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C740321" w14:textId="77777777" w:rsidR="00976D75" w:rsidRPr="00AB74B5" w:rsidRDefault="00976D75" w:rsidP="00AC1002">
                          <w:pPr>
                            <w:jc w:val="center"/>
                            <w:rPr>
                              <w:rFonts w:ascii="Khaitan" w:hAnsi="Khaitan"/>
                              <w:color w:val="D9D9D9" w:themeColor="background1" w:themeShade="D9"/>
                              <w:sz w:val="96"/>
                              <w:szCs w:val="96"/>
                              <w:lang w:val="en-US"/>
                            </w:rPr>
                          </w:pPr>
                          <w:r w:rsidRPr="00AB74B5">
                            <w:rPr>
                              <w:rFonts w:ascii="Khaitan" w:hAnsi="Khaitan"/>
                              <w:color w:val="D9D9D9" w:themeColor="background1" w:themeShade="D9"/>
                              <w:sz w:val="96"/>
                              <w:szCs w:val="96"/>
                              <w:lang w:val="en-US"/>
                            </w:rPr>
                            <w:t>IN THIS ISSUE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A703CAD" id="Rectangle 26" o:spid="_x0000_s1026" style="position:absolute;margin-left:-135pt;margin-top:215.75pt;width:392.85pt;height:75.2pt;rotation:-90;z-index:25170432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" filled="f" stroked="f" strokeweight="2pt">
              <v:textbox style="mso-fit-shape-to-text:t" inset="0,0,0,0">
                <w:txbxContent>
                  <w:p w14:paraId="0C740321" w14:textId="77777777" w:rsidR="00976D75" w:rsidRPr="00AB74B5" w:rsidRDefault="00976D75" w:rsidP="00AC1002">
                    <w:pPr>
                      <w:jc w:val="center"/>
                      <w:rPr>
                        <w:rFonts w:ascii="Khaitan" w:hAnsi="Khaitan"/>
                        <w:color w:val="D9D9D9" w:themeColor="background1" w:themeShade="D9"/>
                        <w:sz w:val="96"/>
                        <w:szCs w:val="96"/>
                        <w:lang w:val="en-US"/>
                      </w:rPr>
                    </w:pPr>
                    <w:r w:rsidRPr="00AB74B5">
                      <w:rPr>
                        <w:rFonts w:ascii="Khaitan" w:hAnsi="Khaitan"/>
                        <w:color w:val="D9D9D9" w:themeColor="background1" w:themeShade="D9"/>
                        <w:sz w:val="96"/>
                        <w:szCs w:val="96"/>
                        <w:lang w:val="en-US"/>
                      </w:rPr>
                      <w:t>IN THIS ISSUE</w:t>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0" w:type="dxa"/>
        <w:right w:w="0" w:type="dxa"/>
      </w:tblCellMar>
      <w:tblLook w:val="04A0" w:firstRow="1" w:lastRow="0" w:firstColumn="1" w:lastColumn="0" w:noHBand="0" w:noVBand="1"/>
    </w:tblPr>
    <w:tblGrid>
      <w:gridCol w:w="5953"/>
      <w:gridCol w:w="5954"/>
    </w:tblGrid>
    <w:tr w:rsidR="00976D75" w14:paraId="08FA96F0" w14:textId="77777777" w:rsidTr="00103DB0">
      <w:trPr>
        <w:trHeight w:val="1418"/>
        <w:jc w:val="center"/>
      </w:trPr>
      <w:tc>
        <w:tcPr>
          <w:tcW w:w="5378" w:type="dxa"/>
          <w:shd w:val="clear" w:color="auto" w:fill="FFFFFF" w:themeFill="background1"/>
          <w:vAlign w:val="center"/>
        </w:tcPr>
        <w:p w14:paraId="430D570D" w14:textId="4727CF39" w:rsidR="00976D75" w:rsidRDefault="00976D75" w:rsidP="00103DB0">
          <w:pPr>
            <w:spacing w:after="120" w:line="240" w:lineRule="auto"/>
            <w:ind w:left="567"/>
            <w:rPr>
              <w:rFonts w:ascii="Khaitan" w:hAnsi="Khaitan"/>
              <w:b/>
            </w:rPr>
          </w:pPr>
          <w:r>
            <w:rPr>
              <w:rFonts w:ascii="Khaitan" w:hAnsi="Khaitan"/>
              <w:noProof/>
            </w:rPr>
            <w:drawing>
              <wp:inline distT="0" distB="0" distL="0" distR="0" wp14:anchorId="75C68F9E" wp14:editId="597ED917">
                <wp:extent cx="1547117" cy="562764"/>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stretch>
                          <a:fillRect/>
                        </a:stretch>
                      </pic:blipFill>
                      <pic:spPr>
                        <a:xfrm>
                          <a:off x="0" y="0"/>
                          <a:ext cx="1547117" cy="562764"/>
                        </a:xfrm>
                        <a:prstGeom prst="rect">
                          <a:avLst/>
                        </a:prstGeom>
                      </pic:spPr>
                    </pic:pic>
                  </a:graphicData>
                </a:graphic>
              </wp:inline>
            </w:drawing>
          </w:r>
        </w:p>
      </w:tc>
      <w:tc>
        <w:tcPr>
          <w:tcW w:w="5378" w:type="dxa"/>
          <w:shd w:val="clear" w:color="auto" w:fill="FFFFFF" w:themeFill="background1"/>
          <w:vAlign w:val="center"/>
        </w:tcPr>
        <w:p w14:paraId="71D1641D" w14:textId="1C08E03C" w:rsidR="00976D75" w:rsidRPr="00103DB0" w:rsidRDefault="00976D75" w:rsidP="00103DB0">
          <w:pPr>
            <w:suppressAutoHyphens/>
            <w:autoSpaceDE w:val="0"/>
            <w:autoSpaceDN w:val="0"/>
            <w:adjustRightInd w:val="0"/>
            <w:spacing w:after="0" w:line="288" w:lineRule="auto"/>
            <w:ind w:right="567"/>
            <w:jc w:val="right"/>
            <w:textAlignment w:val="center"/>
            <w:rPr>
              <w:rFonts w:ascii="Khaitan" w:hAnsi="Khaitan" w:cs="Gotham Book"/>
              <w:color w:val="272726"/>
              <w:sz w:val="20"/>
              <w:szCs w:val="20"/>
              <w:lang w:val="en-GB"/>
            </w:rPr>
          </w:pPr>
          <w:r w:rsidRPr="00103DB0">
            <w:rPr>
              <w:rFonts w:ascii="Khaitan" w:hAnsi="Khaitan" w:cs="Gotham Book"/>
              <w:color w:val="272726"/>
              <w:sz w:val="20"/>
              <w:szCs w:val="20"/>
              <w:lang w:val="en-GB"/>
            </w:rPr>
            <w:t>www.khaitanco.com</w:t>
          </w:r>
        </w:p>
      </w:tc>
    </w:tr>
    <w:tr w:rsidR="00976D75" w14:paraId="560E1849" w14:textId="77777777" w:rsidTr="00103DB0">
      <w:trPr>
        <w:jc w:val="center"/>
      </w:trPr>
      <w:tc>
        <w:tcPr>
          <w:tcW w:w="5378" w:type="dxa"/>
          <w:shd w:val="clear" w:color="auto" w:fill="FFFFFF" w:themeFill="background1"/>
          <w:vAlign w:val="center"/>
        </w:tcPr>
        <w:p w14:paraId="107D25F8" w14:textId="77777777" w:rsidR="00976D75" w:rsidRDefault="00976D75" w:rsidP="00103DB0">
          <w:pPr>
            <w:spacing w:after="120" w:line="240" w:lineRule="auto"/>
            <w:rPr>
              <w:rFonts w:ascii="Khaitan" w:hAnsi="Khaitan"/>
              <w:b/>
            </w:rPr>
          </w:pPr>
        </w:p>
      </w:tc>
      <w:tc>
        <w:tcPr>
          <w:tcW w:w="5378" w:type="dxa"/>
          <w:shd w:val="clear" w:color="auto" w:fill="FFFFFF" w:themeFill="background1"/>
          <w:vAlign w:val="center"/>
        </w:tcPr>
        <w:p w14:paraId="2C265816" w14:textId="77777777" w:rsidR="00976D75" w:rsidRDefault="00976D75" w:rsidP="00103DB0">
          <w:pPr>
            <w:spacing w:after="120" w:line="240" w:lineRule="auto"/>
            <w:rPr>
              <w:rFonts w:ascii="Khaitan" w:hAnsi="Khaitan"/>
              <w:b/>
            </w:rPr>
          </w:pPr>
        </w:p>
      </w:tc>
    </w:tr>
  </w:tbl>
  <w:p w14:paraId="3D8544A6" w14:textId="4FA4273B" w:rsidR="00976D75" w:rsidRPr="00103DB0" w:rsidRDefault="00976D75" w:rsidP="009C7FA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84F37" w14:textId="77777777" w:rsidR="0087773A" w:rsidRDefault="0087773A" w:rsidP="00826201">
      <w:pPr>
        <w:spacing w:line="240" w:lineRule="auto"/>
      </w:pPr>
      <w:r>
        <w:separator/>
      </w:r>
    </w:p>
  </w:footnote>
  <w:footnote w:type="continuationSeparator" w:id="0">
    <w:p w14:paraId="7A4B6051" w14:textId="77777777" w:rsidR="0087773A" w:rsidRDefault="0087773A" w:rsidP="00826201">
      <w:pPr>
        <w:spacing w:line="240" w:lineRule="auto"/>
      </w:pPr>
      <w:r>
        <w:continuationSeparator/>
      </w:r>
    </w:p>
  </w:footnote>
  <w:footnote w:id="1">
    <w:p w14:paraId="6E8ECCE7" w14:textId="4BA765CA" w:rsidR="00600DA0" w:rsidRPr="00450CA6" w:rsidRDefault="00600DA0" w:rsidP="00450CA6">
      <w:pPr>
        <w:pStyle w:val="FootnoteText"/>
        <w:ind w:left="180" w:hanging="180"/>
        <w:rPr>
          <w:rFonts w:ascii="Khaitan" w:hAnsi="Khaitan"/>
          <w:b w:val="0"/>
          <w:bCs/>
          <w:lang w:val="en-GB"/>
        </w:rPr>
      </w:pPr>
      <w:r w:rsidRPr="00450CA6">
        <w:rPr>
          <w:rStyle w:val="FootnoteReference"/>
          <w:rFonts w:ascii="Khaitan" w:hAnsi="Khaitan"/>
          <w:b w:val="0"/>
          <w:bCs/>
          <w:lang w:val="en-GB"/>
        </w:rPr>
        <w:footnoteRef/>
      </w:r>
      <w:r w:rsidRPr="00450CA6">
        <w:rPr>
          <w:rFonts w:ascii="Khaitan" w:hAnsi="Khaitan"/>
          <w:b w:val="0"/>
          <w:bCs/>
          <w:lang w:val="en-GB"/>
        </w:rPr>
        <w:t xml:space="preserve"> </w:t>
      </w:r>
      <w:r w:rsidR="00450CA6">
        <w:rPr>
          <w:rFonts w:ascii="Khaitan" w:hAnsi="Khaitan"/>
          <w:b w:val="0"/>
          <w:bCs/>
          <w:lang w:val="en-GB"/>
        </w:rPr>
        <w:t xml:space="preserve"> </w:t>
      </w:r>
      <w:proofErr w:type="spellStart"/>
      <w:r w:rsidRPr="00450CA6">
        <w:rPr>
          <w:rFonts w:ascii="Khaitan" w:hAnsi="Khaitan"/>
          <w:b w:val="0"/>
          <w:bCs/>
          <w:lang w:val="en-GB"/>
        </w:rPr>
        <w:t>Haigreve</w:t>
      </w:r>
      <w:proofErr w:type="spellEnd"/>
      <w:r w:rsidRPr="00450CA6">
        <w:rPr>
          <w:rFonts w:ascii="Khaitan" w:hAnsi="Khaitan"/>
          <w:b w:val="0"/>
          <w:bCs/>
          <w:lang w:val="en-GB"/>
        </w:rPr>
        <w:t xml:space="preserve"> Khaitan, Partner Khaitan &amp; Co</w:t>
      </w:r>
      <w:r w:rsidR="006C4104">
        <w:rPr>
          <w:rFonts w:ascii="Khaitan" w:hAnsi="Khaitan"/>
          <w:b w:val="0"/>
          <w:bCs/>
          <w:lang w:val="en-GB"/>
        </w:rPr>
        <w:t>,</w:t>
      </w:r>
      <w:r w:rsidRPr="00450CA6">
        <w:rPr>
          <w:rFonts w:ascii="Khaitan" w:hAnsi="Khaitan"/>
          <w:b w:val="0"/>
          <w:bCs/>
          <w:lang w:val="en-GB"/>
        </w:rPr>
        <w:t xml:space="preserve"> is member of the ISF. Members of Khaitan &amp; Co engaged and participated in the activities and discussions at ISF.</w:t>
      </w:r>
    </w:p>
  </w:footnote>
  <w:footnote w:id="2">
    <w:p w14:paraId="7757AB5B" w14:textId="798E7E85" w:rsidR="00600DA0" w:rsidRPr="00450CA6" w:rsidRDefault="00600DA0" w:rsidP="00450CA6">
      <w:pPr>
        <w:pStyle w:val="FootnoteText"/>
        <w:ind w:left="180" w:hanging="180"/>
        <w:rPr>
          <w:rFonts w:ascii="Khaitan" w:hAnsi="Khaitan"/>
          <w:b w:val="0"/>
          <w:bCs/>
          <w:lang w:val="en-GB"/>
        </w:rPr>
      </w:pPr>
      <w:r w:rsidRPr="00450CA6">
        <w:rPr>
          <w:rStyle w:val="FootnoteReference"/>
          <w:rFonts w:ascii="Khaitan" w:hAnsi="Khaitan"/>
          <w:b w:val="0"/>
          <w:bCs/>
          <w:lang w:val="en-GB"/>
        </w:rPr>
        <w:footnoteRef/>
      </w:r>
      <w:r w:rsidRPr="00450CA6">
        <w:rPr>
          <w:rFonts w:ascii="Khaitan" w:hAnsi="Khaitan"/>
          <w:b w:val="0"/>
          <w:bCs/>
          <w:lang w:val="en-GB"/>
        </w:rPr>
        <w:t xml:space="preserve"> </w:t>
      </w:r>
      <w:r w:rsidR="00450CA6">
        <w:rPr>
          <w:rFonts w:ascii="Khaitan" w:hAnsi="Khaitan"/>
          <w:b w:val="0"/>
          <w:bCs/>
          <w:lang w:val="en-GB"/>
        </w:rPr>
        <w:t xml:space="preserve"> </w:t>
      </w:r>
      <w:r w:rsidRPr="00450CA6">
        <w:rPr>
          <w:rFonts w:ascii="Khaitan" w:hAnsi="Khaitan" w:cstheme="majorHAnsi"/>
          <w:b w:val="0"/>
          <w:bCs/>
          <w:lang w:val="en-GB"/>
        </w:rPr>
        <w:t>Press in India 2021-22 published by the Office of Registrar of Newspapers for India</w:t>
      </w:r>
    </w:p>
  </w:footnote>
  <w:footnote w:id="3">
    <w:p w14:paraId="7955C28F" w14:textId="7B6CB0DC" w:rsidR="00600DA0" w:rsidRPr="006C4EF6" w:rsidRDefault="00600DA0" w:rsidP="00450CA6">
      <w:pPr>
        <w:pStyle w:val="FootnoteText"/>
        <w:ind w:left="180" w:hanging="180"/>
        <w:rPr>
          <w:b w:val="0"/>
          <w:bCs/>
          <w:lang w:val="en-GB"/>
        </w:rPr>
      </w:pPr>
      <w:r w:rsidRPr="00450CA6">
        <w:rPr>
          <w:rStyle w:val="FootnoteReference"/>
          <w:rFonts w:ascii="Khaitan" w:hAnsi="Khaitan"/>
          <w:b w:val="0"/>
          <w:bCs/>
          <w:lang w:val="en-GB"/>
        </w:rPr>
        <w:footnoteRef/>
      </w:r>
      <w:r w:rsidRPr="00450CA6">
        <w:rPr>
          <w:rFonts w:ascii="Khaitan" w:hAnsi="Khaitan"/>
          <w:b w:val="0"/>
          <w:bCs/>
          <w:lang w:val="en-GB"/>
        </w:rPr>
        <w:t xml:space="preserve"> </w:t>
      </w:r>
      <w:r w:rsidRPr="00450CA6">
        <w:rPr>
          <w:rFonts w:ascii="Khaitan" w:hAnsi="Khaitan" w:cstheme="majorHAnsi"/>
          <w:b w:val="0"/>
          <w:bCs/>
          <w:lang w:val="en-GB"/>
        </w:rPr>
        <w:t>Pricing norms provided under / specified by: (a) preferential issue or qualified institutional placement under SEBI (Issue of Capital and Disclosure Requirements) Regulations, 2018 (ICDR); (b) open offer price under SEBI (Substantial Acquisition of Shares and Takeovers) Regulations, 2011 (SAST); (c) buyback of securities under SEBI (Buy-Back of Securities) Regulations, 2018 (Buyback Regulations); or (d) SEBI or stock exchanges, shall be excluded from the calculation of the material price movement.</w:t>
      </w:r>
    </w:p>
  </w:footnote>
  <w:footnote w:id="4">
    <w:p w14:paraId="6A15D591" w14:textId="6CB6278C" w:rsidR="00600DA0" w:rsidRPr="00450CA6" w:rsidRDefault="00600DA0" w:rsidP="00450CA6">
      <w:pPr>
        <w:pStyle w:val="FootnoteText"/>
        <w:ind w:left="180" w:hanging="180"/>
        <w:rPr>
          <w:rFonts w:ascii="Khaitan" w:hAnsi="Khaitan"/>
          <w:b w:val="0"/>
          <w:bCs/>
          <w:lang w:val="en-GB"/>
        </w:rPr>
      </w:pPr>
      <w:r w:rsidRPr="00450CA6">
        <w:rPr>
          <w:rStyle w:val="FootnoteReference"/>
          <w:rFonts w:ascii="Khaitan" w:hAnsi="Khaitan"/>
          <w:b w:val="0"/>
          <w:bCs/>
          <w:lang w:val="en-GB"/>
        </w:rPr>
        <w:footnoteRef/>
      </w:r>
      <w:r w:rsidRPr="00450CA6">
        <w:rPr>
          <w:rFonts w:ascii="Khaitan" w:hAnsi="Khaitan"/>
          <w:b w:val="0"/>
          <w:bCs/>
          <w:lang w:val="en-GB"/>
        </w:rPr>
        <w:t xml:space="preserve"> ISF Note specifies that there are no business / financial newspapers are published in print form in Mauritius and Luxemburg.</w:t>
      </w:r>
    </w:p>
  </w:footnote>
  <w:footnote w:id="5">
    <w:p w14:paraId="62AF11FC" w14:textId="23CFB6C1" w:rsidR="00600DA0" w:rsidRPr="00450CA6" w:rsidRDefault="00600DA0" w:rsidP="00450CA6">
      <w:pPr>
        <w:pStyle w:val="FootnoteText"/>
        <w:ind w:left="180" w:hanging="180"/>
        <w:rPr>
          <w:rFonts w:ascii="Khaitan" w:hAnsi="Khaitan"/>
          <w:b w:val="0"/>
          <w:bCs/>
          <w:lang w:val="en-GB"/>
        </w:rPr>
      </w:pPr>
      <w:r w:rsidRPr="00450CA6">
        <w:rPr>
          <w:rStyle w:val="FootnoteReference"/>
          <w:rFonts w:ascii="Khaitan" w:hAnsi="Khaitan"/>
          <w:b w:val="0"/>
          <w:bCs/>
          <w:lang w:val="en-GB"/>
        </w:rPr>
        <w:footnoteRef/>
      </w:r>
      <w:r w:rsidRPr="00450CA6">
        <w:rPr>
          <w:rFonts w:ascii="Khaitan" w:hAnsi="Khaitan"/>
          <w:b w:val="0"/>
          <w:bCs/>
          <w:lang w:val="en-GB"/>
        </w:rPr>
        <w:t xml:space="preserve"> Such as mandatory independent woman director, minimum board strength of 6 directors, increased quorum of board</w:t>
      </w:r>
      <w:r w:rsidR="00450CA6">
        <w:rPr>
          <w:rFonts w:ascii="Khaitan" w:hAnsi="Khaitan"/>
          <w:b w:val="0"/>
          <w:bCs/>
          <w:lang w:val="en-GB"/>
        </w:rPr>
        <w:t xml:space="preserve"> </w:t>
      </w:r>
      <w:r w:rsidRPr="00450CA6">
        <w:rPr>
          <w:rFonts w:ascii="Khaitan" w:hAnsi="Khaitan"/>
          <w:b w:val="0"/>
          <w:bCs/>
          <w:lang w:val="en-GB"/>
        </w:rPr>
        <w:t>meeting and constitution of risk management committee of the board.</w:t>
      </w:r>
    </w:p>
  </w:footnote>
  <w:footnote w:id="6">
    <w:p w14:paraId="7151E97A" w14:textId="72A2D68A" w:rsidR="00600DA0" w:rsidRPr="00450CA6" w:rsidRDefault="00600DA0" w:rsidP="00450CA6">
      <w:pPr>
        <w:pStyle w:val="FootnoteText"/>
        <w:ind w:left="180" w:hanging="180"/>
        <w:rPr>
          <w:rFonts w:ascii="Khaitan" w:hAnsi="Khaitan"/>
          <w:b w:val="0"/>
          <w:bCs/>
          <w:lang w:val="en-GB"/>
        </w:rPr>
      </w:pPr>
      <w:r w:rsidRPr="00450CA6">
        <w:rPr>
          <w:rStyle w:val="FootnoteReference"/>
          <w:rFonts w:ascii="Khaitan" w:hAnsi="Khaitan"/>
          <w:b w:val="0"/>
          <w:bCs/>
          <w:lang w:val="en-GB"/>
        </w:rPr>
        <w:footnoteRef/>
      </w:r>
      <w:r w:rsidRPr="00450CA6">
        <w:rPr>
          <w:rFonts w:ascii="Khaitan" w:hAnsi="Khaitan"/>
          <w:b w:val="0"/>
          <w:bCs/>
          <w:lang w:val="en-GB"/>
        </w:rPr>
        <w:t xml:space="preserve"> Such as tighter timeline for holding annual general meeting (AGM) and requirement to provide one-way live webcast of AGM proceedings.</w:t>
      </w:r>
    </w:p>
  </w:footnote>
  <w:footnote w:id="7">
    <w:p w14:paraId="6E76F3F7" w14:textId="6C0D5076" w:rsidR="00600DA0" w:rsidRPr="006C4EF6" w:rsidRDefault="00600DA0" w:rsidP="00450CA6">
      <w:pPr>
        <w:pStyle w:val="FootnoteText"/>
        <w:ind w:left="180" w:hanging="180"/>
        <w:rPr>
          <w:b w:val="0"/>
          <w:bCs/>
          <w:lang w:val="en-GB"/>
        </w:rPr>
      </w:pPr>
      <w:r w:rsidRPr="00450CA6">
        <w:rPr>
          <w:rStyle w:val="FootnoteReference"/>
          <w:rFonts w:ascii="Khaitan" w:hAnsi="Khaitan"/>
          <w:b w:val="0"/>
          <w:bCs/>
          <w:lang w:val="en-GB"/>
        </w:rPr>
        <w:footnoteRef/>
      </w:r>
      <w:r w:rsidRPr="00450CA6">
        <w:rPr>
          <w:rFonts w:ascii="Khaitan" w:hAnsi="Khaitan"/>
          <w:b w:val="0"/>
          <w:bCs/>
          <w:lang w:val="en-GB"/>
        </w:rPr>
        <w:t xml:space="preserve"> </w:t>
      </w:r>
      <w:r w:rsidRPr="00450CA6">
        <w:rPr>
          <w:rFonts w:ascii="Khaitan" w:hAnsi="Khaitan" w:cstheme="majorHAnsi"/>
          <w:b w:val="0"/>
          <w:bCs/>
          <w:lang w:val="en-GB"/>
        </w:rPr>
        <w:t>Such as requirement for obtaining directors’ and officers’ liability insurance, market rumour verification, disclosure of business responsibility and sustainability reporting (BRSR) and adoption of dividend distribution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6E2F4" w14:textId="3C5C836F" w:rsidR="00A25BDA" w:rsidRDefault="00C2194D" w:rsidP="00A25BDA">
    <w:pPr>
      <w:pStyle w:val="Header"/>
      <w:rPr>
        <w:noProof/>
      </w:rPr>
    </w:pPr>
    <w:r w:rsidRPr="00DD0F53">
      <w:rPr>
        <w:rFonts w:ascii="Calibri" w:hAnsi="Calibri"/>
        <w:noProof/>
      </w:rPr>
      <w:drawing>
        <wp:inline distT="0" distB="0" distL="0" distR="0" wp14:anchorId="442B1317" wp14:editId="633FF8FF">
          <wp:extent cx="1959428" cy="534279"/>
          <wp:effectExtent l="0" t="0" r="3175" b="0"/>
          <wp:docPr id="1127491814" name="Picture 1127491814" descr="A picture containing text, sign, clipart&#10;&#10;Description automatically generated">
            <a:extLst xmlns:a="http://schemas.openxmlformats.org/drawingml/2006/main">
              <a:ext uri="{FF2B5EF4-FFF2-40B4-BE49-F238E27FC236}">
                <a16:creationId xmlns:a16="http://schemas.microsoft.com/office/drawing/2014/main" id="{FCBA4EC1-1C0A-4791-880D-CE1183766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sign, clipart&#10;&#10;Description automatically generated">
                    <a:extLst>
                      <a:ext uri="{FF2B5EF4-FFF2-40B4-BE49-F238E27FC236}">
                        <a16:creationId xmlns:a16="http://schemas.microsoft.com/office/drawing/2014/main" id="{FCBA4EC1-1C0A-4791-880D-CE118376619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2655" cy="543339"/>
                  </a:xfrm>
                  <a:prstGeom prst="rect">
                    <a:avLst/>
                  </a:prstGeom>
                </pic:spPr>
              </pic:pic>
            </a:graphicData>
          </a:graphic>
        </wp:inline>
      </w:drawing>
    </w:r>
  </w:p>
  <w:p w14:paraId="0EDD64F0" w14:textId="77777777" w:rsidR="00A25BDA" w:rsidRDefault="00A25BDA" w:rsidP="00A25BDA">
    <w:pPr>
      <w:pStyle w:val="Header"/>
      <w:rPr>
        <w:noProof/>
      </w:rPr>
    </w:pPr>
  </w:p>
  <w:p w14:paraId="5E760ACD" w14:textId="77777777" w:rsidR="00A25BDA" w:rsidRDefault="00A25BDA" w:rsidP="00A25BDA">
    <w:pPr>
      <w:pStyle w:val="Header"/>
      <w:rPr>
        <w:noProof/>
      </w:rPr>
    </w:pPr>
  </w:p>
  <w:p w14:paraId="40904582" w14:textId="2BA5C112" w:rsidR="00976D75" w:rsidRPr="00A25BDA" w:rsidRDefault="00A25BDA" w:rsidP="00A25BDA">
    <w:pPr>
      <w:pStyle w:val="Header"/>
    </w:pPr>
    <w:r>
      <w:rPr>
        <w:noProof/>
      </w:rPr>
      <w:drawing>
        <wp:anchor distT="0" distB="0" distL="114300" distR="114300" simplePos="0" relativeHeight="251729920" behindDoc="1" locked="0" layoutInCell="1" allowOverlap="1" wp14:anchorId="042AC724" wp14:editId="7826511E">
          <wp:simplePos x="0" y="0"/>
          <wp:positionH relativeFrom="page">
            <wp:align>left</wp:align>
          </wp:positionH>
          <wp:positionV relativeFrom="page">
            <wp:align>top</wp:align>
          </wp:positionV>
          <wp:extent cx="7560000" cy="460800"/>
          <wp:effectExtent l="0" t="0" r="0" b="0"/>
          <wp:wrapNone/>
          <wp:docPr id="2091348664" name="Picture 209134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ng"/>
                  <pic:cNvPicPr/>
                </pic:nvPicPr>
                <pic:blipFill>
                  <a:blip r:embed="rId2"/>
                  <a:stretch>
                    <a:fillRect/>
                  </a:stretch>
                </pic:blipFill>
                <pic:spPr>
                  <a:xfrm>
                    <a:off x="0" y="0"/>
                    <a:ext cx="7560000" cy="460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7BCA" w14:textId="121D0AF0" w:rsidR="00976D75" w:rsidRDefault="00976D75">
    <w:pPr>
      <w:pStyle w:val="Header"/>
    </w:pPr>
    <w:r>
      <w:rPr>
        <w:noProof/>
      </w:rPr>
      <w:drawing>
        <wp:anchor distT="0" distB="0" distL="114300" distR="114300" simplePos="0" relativeHeight="251659263" behindDoc="1" locked="0" layoutInCell="1" allowOverlap="1" wp14:anchorId="326B1D19" wp14:editId="7F394BB0">
          <wp:simplePos x="0" y="0"/>
          <wp:positionH relativeFrom="page">
            <wp:align>left</wp:align>
          </wp:positionH>
          <wp:positionV relativeFrom="page">
            <wp:align>top</wp:align>
          </wp:positionV>
          <wp:extent cx="7560000" cy="6120000"/>
          <wp:effectExtent l="0" t="0" r="3175" b="0"/>
          <wp:wrapNone/>
          <wp:docPr id="2011844185" name="Picture 2011844185" descr="A cut in h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1.jpg"/>
                  <pic:cNvPicPr/>
                </pic:nvPicPr>
                <pic:blipFill>
                  <a:blip r:embed="rId1"/>
                  <a:stretch>
                    <a:fillRect/>
                  </a:stretch>
                </pic:blipFill>
                <pic:spPr>
                  <a:xfrm>
                    <a:off x="0" y="0"/>
                    <a:ext cx="7560000" cy="612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BF25F" w14:textId="77777777" w:rsidR="00516FC5" w:rsidRDefault="00516FC5">
    <w:pPr>
      <w:pStyle w:val="Header"/>
    </w:pPr>
    <w:r>
      <w:rPr>
        <w:noProof/>
      </w:rPr>
      <w:drawing>
        <wp:anchor distT="0" distB="0" distL="114300" distR="114300" simplePos="0" relativeHeight="251731968" behindDoc="1" locked="0" layoutInCell="1" allowOverlap="1" wp14:anchorId="554E00E0" wp14:editId="2C846D77">
          <wp:simplePos x="0" y="0"/>
          <wp:positionH relativeFrom="page">
            <wp:align>left</wp:align>
          </wp:positionH>
          <wp:positionV relativeFrom="page">
            <wp:align>top</wp:align>
          </wp:positionV>
          <wp:extent cx="7560000" cy="6120000"/>
          <wp:effectExtent l="0" t="0" r="3175" b="0"/>
          <wp:wrapNone/>
          <wp:docPr id="1907038408" name="Picture 1907038408" descr="A cut in h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1.jpg"/>
                  <pic:cNvPicPr/>
                </pic:nvPicPr>
                <pic:blipFill>
                  <a:blip r:embed="rId1"/>
                  <a:stretch>
                    <a:fillRect/>
                  </a:stretch>
                </pic:blipFill>
                <pic:spPr>
                  <a:xfrm>
                    <a:off x="0" y="0"/>
                    <a:ext cx="7560000" cy="612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48669" w14:textId="4C3D8F95" w:rsidR="00976D75" w:rsidRDefault="00976D75">
    <w:pPr>
      <w:pStyle w:val="Header"/>
      <w:rPr>
        <w:noProof/>
      </w:rPr>
    </w:pPr>
    <w:r>
      <w:rPr>
        <w:noProof/>
      </w:rPr>
      <mc:AlternateContent>
        <mc:Choice Requires="wps">
          <w:drawing>
            <wp:anchor distT="0" distB="0" distL="114300" distR="114300" simplePos="0" relativeHeight="251658238" behindDoc="1" locked="0" layoutInCell="1" allowOverlap="1" wp14:anchorId="70BA35CC" wp14:editId="3C64B85F">
              <wp:simplePos x="0" y="0"/>
              <wp:positionH relativeFrom="page">
                <wp:align>left</wp:align>
              </wp:positionH>
              <wp:positionV relativeFrom="page">
                <wp:align>top</wp:align>
              </wp:positionV>
              <wp:extent cx="7560000" cy="10692000"/>
              <wp:effectExtent l="0" t="0" r="3175" b="0"/>
              <wp:wrapNone/>
              <wp:docPr id="79" name="Rectangle 7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23AF3" id="Rectangle 79" o:spid="_x0000_s1026" style="position:absolute;margin-left:0;margin-top:0;width:595.3pt;height:841.9pt;z-index:-25165824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" fillcolor="#f2f2f2 [3052]" stroked="f" strokeweight="2pt">
              <w10:wrap anchorx="page" anchory="page"/>
            </v:rect>
          </w:pict>
        </mc:Fallback>
      </mc:AlternateContent>
    </w:r>
    <w:r>
      <w:rPr>
        <w:noProof/>
      </w:rPr>
      <w:drawing>
        <wp:anchor distT="0" distB="0" distL="114300" distR="114300" simplePos="0" relativeHeight="251716608" behindDoc="1" locked="0" layoutInCell="1" allowOverlap="1" wp14:anchorId="54B625CF" wp14:editId="28103D6D">
          <wp:simplePos x="0" y="0"/>
          <wp:positionH relativeFrom="page">
            <wp:align>left</wp:align>
          </wp:positionH>
          <wp:positionV relativeFrom="page">
            <wp:align>top</wp:align>
          </wp:positionV>
          <wp:extent cx="7552690" cy="2019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ng"/>
                  <pic:cNvPicPr/>
                </pic:nvPicPr>
                <pic:blipFill rotWithShape="1">
                  <a:blip r:embed="rId1"/>
                  <a:srcRect b="56118"/>
                  <a:stretch/>
                </pic:blipFill>
                <pic:spPr bwMode="auto">
                  <a:xfrm>
                    <a:off x="0" y="0"/>
                    <a:ext cx="7560000" cy="20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5464F" w14:textId="77777777" w:rsidR="00976D75" w:rsidRDefault="00976D75">
    <w:pPr>
      <w:pStyle w:val="Header"/>
      <w:rPr>
        <w:noProof/>
      </w:rPr>
    </w:pPr>
  </w:p>
  <w:p w14:paraId="24C70836" w14:textId="77777777" w:rsidR="00976D75" w:rsidRDefault="00976D75">
    <w:pPr>
      <w:pStyle w:val="Header"/>
      <w:rPr>
        <w:noProof/>
      </w:rPr>
    </w:pPr>
  </w:p>
  <w:p w14:paraId="0292CC59" w14:textId="6781DB12" w:rsidR="00976D75" w:rsidRDefault="00976D75">
    <w:pPr>
      <w:pStyle w:val="Header"/>
    </w:pPr>
    <w:r>
      <w:rPr>
        <w:noProof/>
        <w:sz w:val="4"/>
        <w:szCs w:val="4"/>
      </w:rPr>
      <w:drawing>
        <wp:anchor distT="0" distB="0" distL="114300" distR="114300" simplePos="0" relativeHeight="251719680" behindDoc="1" locked="0" layoutInCell="1" allowOverlap="1" wp14:anchorId="077104C6" wp14:editId="59F6E9DD">
          <wp:simplePos x="0" y="0"/>
          <wp:positionH relativeFrom="page">
            <wp:posOffset>3056565</wp:posOffset>
          </wp:positionH>
          <wp:positionV relativeFrom="paragraph">
            <wp:posOffset>2925076</wp:posOffset>
          </wp:positionV>
          <wp:extent cx="5647690" cy="5667375"/>
          <wp:effectExtent l="0" t="0" r="0"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
                  <a:stretch>
                    <a:fillRect/>
                  </a:stretch>
                </pic:blipFill>
                <pic:spPr>
                  <a:xfrm>
                    <a:off x="0" y="0"/>
                    <a:ext cx="5647690" cy="5667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66A75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35250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DC7A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2CDC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EC81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FC64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6C68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E209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FA1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B60F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D0050"/>
    <w:multiLevelType w:val="hybridMultilevel"/>
    <w:tmpl w:val="4148DB80"/>
    <w:lvl w:ilvl="0" w:tplc="40090017">
      <w:start w:val="1"/>
      <w:numFmt w:val="lowerLetter"/>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1" w15:restartNumberingAfterBreak="0">
    <w:nsid w:val="03DF3A23"/>
    <w:multiLevelType w:val="multilevel"/>
    <w:tmpl w:val="44746684"/>
    <w:lvl w:ilvl="0">
      <w:start w:val="1"/>
      <w:numFmt w:val="decimal"/>
      <w:lvlText w:val="%1."/>
      <w:lvlJc w:val="left"/>
      <w:pPr>
        <w:ind w:left="284" w:hanging="284"/>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09507485"/>
    <w:multiLevelType w:val="hybridMultilevel"/>
    <w:tmpl w:val="3550AF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98D0515"/>
    <w:multiLevelType w:val="multilevel"/>
    <w:tmpl w:val="B4E8A020"/>
    <w:lvl w:ilvl="0">
      <w:start w:val="1"/>
      <w:numFmt w:val="lowerLetter"/>
      <w:lvlText w:val="%1)"/>
      <w:lvlJc w:val="left"/>
      <w:pPr>
        <w:ind w:left="567" w:hanging="283"/>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0BDE7048"/>
    <w:multiLevelType w:val="hybridMultilevel"/>
    <w:tmpl w:val="B568EED4"/>
    <w:lvl w:ilvl="0" w:tplc="C4F8EF64">
      <w:start w:val="1"/>
      <w:numFmt w:val="lowerLetter"/>
      <w:lvlText w:val="(%1)"/>
      <w:lvlJc w:val="left"/>
      <w:pPr>
        <w:ind w:left="1287" w:hanging="720"/>
      </w:pPr>
      <w:rPr>
        <w:rFonts w:hint="default"/>
        <w:b w:val="0"/>
        <w:bCs w:val="0"/>
      </w:rPr>
    </w:lvl>
    <w:lvl w:ilvl="1" w:tplc="9120F964">
      <w:start w:val="1"/>
      <w:numFmt w:val="lowerRoman"/>
      <w:lvlText w:val="(%2)"/>
      <w:lvlJc w:val="right"/>
      <w:pPr>
        <w:ind w:left="1647" w:hanging="360"/>
      </w:pPr>
      <w:rPr>
        <w:rFonts w:hint="default"/>
      </w:r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5" w15:restartNumberingAfterBreak="0">
    <w:nsid w:val="0D5C3741"/>
    <w:multiLevelType w:val="hybridMultilevel"/>
    <w:tmpl w:val="6FFCA69E"/>
    <w:lvl w:ilvl="0" w:tplc="67D83062">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E3656DE"/>
    <w:multiLevelType w:val="multilevel"/>
    <w:tmpl w:val="A86CE6D6"/>
    <w:lvl w:ilvl="0">
      <w:start w:val="1"/>
      <w:numFmt w:val="bullet"/>
      <w:pStyle w:val="KCOTextBul1"/>
      <w:lvlText w:val=""/>
      <w:lvlJc w:val="left"/>
      <w:pPr>
        <w:ind w:left="360" w:hanging="360"/>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7B00238"/>
    <w:multiLevelType w:val="hybridMultilevel"/>
    <w:tmpl w:val="0F347C0C"/>
    <w:lvl w:ilvl="0" w:tplc="4858B8FE">
      <w:start w:val="1"/>
      <w:numFmt w:val="lowerRoman"/>
      <w:lvlText w:val="(%1)"/>
      <w:lvlJc w:val="left"/>
      <w:pPr>
        <w:ind w:left="1440" w:hanging="720"/>
      </w:pPr>
      <w:rPr>
        <w:rFonts w:hint="default"/>
        <w:b w:val="0"/>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1E2E707B"/>
    <w:multiLevelType w:val="hybridMultilevel"/>
    <w:tmpl w:val="47642448"/>
    <w:lvl w:ilvl="0" w:tplc="47807946">
      <w:start w:val="1"/>
      <w:numFmt w:val="lowerLetter"/>
      <w:lvlText w:val="(%1)"/>
      <w:lvlJc w:val="left"/>
      <w:pPr>
        <w:ind w:left="1363" w:hanging="720"/>
      </w:pPr>
      <w:rPr>
        <w:rFonts w:asciiTheme="majorHAnsi" w:eastAsia="Times New Roman" w:hAnsiTheme="majorHAnsi" w:cstheme="majorHAnsi"/>
        <w:b w:val="0"/>
        <w:bCs w:val="0"/>
      </w:r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19" w15:restartNumberingAfterBreak="0">
    <w:nsid w:val="231169EA"/>
    <w:multiLevelType w:val="hybridMultilevel"/>
    <w:tmpl w:val="52982912"/>
    <w:lvl w:ilvl="0" w:tplc="926C9EE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262504D0"/>
    <w:multiLevelType w:val="hybridMultilevel"/>
    <w:tmpl w:val="3A1241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8602F14"/>
    <w:multiLevelType w:val="hybridMultilevel"/>
    <w:tmpl w:val="F288EA14"/>
    <w:lvl w:ilvl="0" w:tplc="40090005">
      <w:start w:val="1"/>
      <w:numFmt w:val="bullet"/>
      <w:lvlText w:val=""/>
      <w:lvlJc w:val="left"/>
      <w:pPr>
        <w:ind w:left="540" w:hanging="360"/>
      </w:pPr>
      <w:rPr>
        <w:rFonts w:ascii="Wingdings" w:hAnsi="Wingdings" w:hint="default"/>
      </w:rPr>
    </w:lvl>
    <w:lvl w:ilvl="1" w:tplc="40090003">
      <w:start w:val="1"/>
      <w:numFmt w:val="bullet"/>
      <w:lvlText w:val="o"/>
      <w:lvlJc w:val="left"/>
      <w:pPr>
        <w:ind w:left="1260" w:hanging="360"/>
      </w:pPr>
      <w:rPr>
        <w:rFonts w:ascii="Courier New" w:hAnsi="Courier New" w:cs="Courier New" w:hint="default"/>
      </w:rPr>
    </w:lvl>
    <w:lvl w:ilvl="2" w:tplc="40090005">
      <w:start w:val="1"/>
      <w:numFmt w:val="bullet"/>
      <w:lvlText w:val=""/>
      <w:lvlJc w:val="left"/>
      <w:pPr>
        <w:ind w:left="1980" w:hanging="360"/>
      </w:pPr>
      <w:rPr>
        <w:rFonts w:ascii="Wingdings" w:hAnsi="Wingdings" w:hint="default"/>
      </w:rPr>
    </w:lvl>
    <w:lvl w:ilvl="3" w:tplc="40090001">
      <w:start w:val="1"/>
      <w:numFmt w:val="bullet"/>
      <w:lvlText w:val=""/>
      <w:lvlJc w:val="left"/>
      <w:pPr>
        <w:ind w:left="2700" w:hanging="360"/>
      </w:pPr>
      <w:rPr>
        <w:rFonts w:ascii="Symbol" w:hAnsi="Symbol" w:hint="default"/>
      </w:rPr>
    </w:lvl>
    <w:lvl w:ilvl="4" w:tplc="40090003">
      <w:start w:val="1"/>
      <w:numFmt w:val="bullet"/>
      <w:lvlText w:val="o"/>
      <w:lvlJc w:val="left"/>
      <w:pPr>
        <w:ind w:left="3420" w:hanging="360"/>
      </w:pPr>
      <w:rPr>
        <w:rFonts w:ascii="Courier New" w:hAnsi="Courier New" w:cs="Courier New" w:hint="default"/>
      </w:rPr>
    </w:lvl>
    <w:lvl w:ilvl="5" w:tplc="40090005">
      <w:start w:val="1"/>
      <w:numFmt w:val="bullet"/>
      <w:lvlText w:val=""/>
      <w:lvlJc w:val="left"/>
      <w:pPr>
        <w:ind w:left="4140" w:hanging="360"/>
      </w:pPr>
      <w:rPr>
        <w:rFonts w:ascii="Wingdings" w:hAnsi="Wingdings" w:hint="default"/>
      </w:rPr>
    </w:lvl>
    <w:lvl w:ilvl="6" w:tplc="40090001">
      <w:start w:val="1"/>
      <w:numFmt w:val="bullet"/>
      <w:lvlText w:val=""/>
      <w:lvlJc w:val="left"/>
      <w:pPr>
        <w:ind w:left="4860" w:hanging="360"/>
      </w:pPr>
      <w:rPr>
        <w:rFonts w:ascii="Symbol" w:hAnsi="Symbol" w:hint="default"/>
      </w:rPr>
    </w:lvl>
    <w:lvl w:ilvl="7" w:tplc="40090003">
      <w:start w:val="1"/>
      <w:numFmt w:val="bullet"/>
      <w:lvlText w:val="o"/>
      <w:lvlJc w:val="left"/>
      <w:pPr>
        <w:ind w:left="5580" w:hanging="360"/>
      </w:pPr>
      <w:rPr>
        <w:rFonts w:ascii="Courier New" w:hAnsi="Courier New" w:cs="Courier New" w:hint="default"/>
      </w:rPr>
    </w:lvl>
    <w:lvl w:ilvl="8" w:tplc="40090005">
      <w:start w:val="1"/>
      <w:numFmt w:val="bullet"/>
      <w:lvlText w:val=""/>
      <w:lvlJc w:val="left"/>
      <w:pPr>
        <w:ind w:left="6300" w:hanging="360"/>
      </w:pPr>
      <w:rPr>
        <w:rFonts w:ascii="Wingdings" w:hAnsi="Wingdings" w:hint="default"/>
      </w:rPr>
    </w:lvl>
  </w:abstractNum>
  <w:abstractNum w:abstractNumId="22" w15:restartNumberingAfterBreak="0">
    <w:nsid w:val="2BAC12D2"/>
    <w:multiLevelType w:val="hybridMultilevel"/>
    <w:tmpl w:val="5EF416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D76356A"/>
    <w:multiLevelType w:val="hybridMultilevel"/>
    <w:tmpl w:val="FFFFFFFF"/>
    <w:lvl w:ilvl="0" w:tplc="D8FA9E66">
      <w:start w:val="1"/>
      <w:numFmt w:val="bullet"/>
      <w:lvlText w:val=""/>
      <w:lvlJc w:val="left"/>
      <w:pPr>
        <w:ind w:left="720" w:hanging="360"/>
      </w:pPr>
      <w:rPr>
        <w:rFonts w:ascii="Wingdings" w:hAnsi="Wingdings" w:hint="default"/>
      </w:rPr>
    </w:lvl>
    <w:lvl w:ilvl="1" w:tplc="4ECEC016">
      <w:start w:val="1"/>
      <w:numFmt w:val="bullet"/>
      <w:lvlText w:val="o"/>
      <w:lvlJc w:val="left"/>
      <w:pPr>
        <w:ind w:left="1440" w:hanging="360"/>
      </w:pPr>
      <w:rPr>
        <w:rFonts w:ascii="Courier New" w:hAnsi="Courier New" w:hint="default"/>
      </w:rPr>
    </w:lvl>
    <w:lvl w:ilvl="2" w:tplc="B9F801FE">
      <w:start w:val="1"/>
      <w:numFmt w:val="bullet"/>
      <w:lvlText w:val=""/>
      <w:lvlJc w:val="left"/>
      <w:pPr>
        <w:ind w:left="2160" w:hanging="360"/>
      </w:pPr>
      <w:rPr>
        <w:rFonts w:ascii="Wingdings" w:hAnsi="Wingdings" w:hint="default"/>
      </w:rPr>
    </w:lvl>
    <w:lvl w:ilvl="3" w:tplc="DC646AB8">
      <w:start w:val="1"/>
      <w:numFmt w:val="bullet"/>
      <w:lvlText w:val=""/>
      <w:lvlJc w:val="left"/>
      <w:pPr>
        <w:ind w:left="2880" w:hanging="360"/>
      </w:pPr>
      <w:rPr>
        <w:rFonts w:ascii="Symbol" w:hAnsi="Symbol" w:hint="default"/>
      </w:rPr>
    </w:lvl>
    <w:lvl w:ilvl="4" w:tplc="77A8E5B0">
      <w:start w:val="1"/>
      <w:numFmt w:val="bullet"/>
      <w:lvlText w:val="o"/>
      <w:lvlJc w:val="left"/>
      <w:pPr>
        <w:ind w:left="3600" w:hanging="360"/>
      </w:pPr>
      <w:rPr>
        <w:rFonts w:ascii="Courier New" w:hAnsi="Courier New" w:hint="default"/>
      </w:rPr>
    </w:lvl>
    <w:lvl w:ilvl="5" w:tplc="443C1096">
      <w:start w:val="1"/>
      <w:numFmt w:val="bullet"/>
      <w:lvlText w:val=""/>
      <w:lvlJc w:val="left"/>
      <w:pPr>
        <w:ind w:left="4320" w:hanging="360"/>
      </w:pPr>
      <w:rPr>
        <w:rFonts w:ascii="Wingdings" w:hAnsi="Wingdings" w:hint="default"/>
      </w:rPr>
    </w:lvl>
    <w:lvl w:ilvl="6" w:tplc="C38E97A6">
      <w:start w:val="1"/>
      <w:numFmt w:val="bullet"/>
      <w:lvlText w:val=""/>
      <w:lvlJc w:val="left"/>
      <w:pPr>
        <w:ind w:left="5040" w:hanging="360"/>
      </w:pPr>
      <w:rPr>
        <w:rFonts w:ascii="Symbol" w:hAnsi="Symbol" w:hint="default"/>
      </w:rPr>
    </w:lvl>
    <w:lvl w:ilvl="7" w:tplc="3C40E02E">
      <w:start w:val="1"/>
      <w:numFmt w:val="bullet"/>
      <w:lvlText w:val="o"/>
      <w:lvlJc w:val="left"/>
      <w:pPr>
        <w:ind w:left="5760" w:hanging="360"/>
      </w:pPr>
      <w:rPr>
        <w:rFonts w:ascii="Courier New" w:hAnsi="Courier New" w:hint="default"/>
      </w:rPr>
    </w:lvl>
    <w:lvl w:ilvl="8" w:tplc="CFEACC90">
      <w:start w:val="1"/>
      <w:numFmt w:val="bullet"/>
      <w:lvlText w:val=""/>
      <w:lvlJc w:val="left"/>
      <w:pPr>
        <w:ind w:left="6480" w:hanging="360"/>
      </w:pPr>
      <w:rPr>
        <w:rFonts w:ascii="Wingdings" w:hAnsi="Wingdings" w:hint="default"/>
      </w:rPr>
    </w:lvl>
  </w:abstractNum>
  <w:abstractNum w:abstractNumId="24" w15:restartNumberingAfterBreak="0">
    <w:nsid w:val="311F2B27"/>
    <w:multiLevelType w:val="hybridMultilevel"/>
    <w:tmpl w:val="297E476E"/>
    <w:lvl w:ilvl="0" w:tplc="D05CE146">
      <w:start w:val="1"/>
      <w:numFmt w:val="lowerLetter"/>
      <w:lvlText w:val="%1)"/>
      <w:lvlJc w:val="left"/>
      <w:pPr>
        <w:ind w:left="900" w:hanging="360"/>
      </w:pPr>
      <w:rPr>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36B90ED5"/>
    <w:multiLevelType w:val="hybridMultilevel"/>
    <w:tmpl w:val="52982912"/>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7D93EC3"/>
    <w:multiLevelType w:val="multilevel"/>
    <w:tmpl w:val="48D8D2CC"/>
    <w:lvl w:ilvl="0">
      <w:start w:val="1"/>
      <w:numFmt w:val="lowerLetter"/>
      <w:lvlText w:val="%1)"/>
      <w:lvlJc w:val="left"/>
      <w:pPr>
        <w:ind w:left="357" w:hanging="357"/>
      </w:pPr>
      <w:rPr>
        <w:rFonts w:hint="default"/>
        <w:b w:val="0"/>
        <w:bCs w:val="0"/>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7" w15:restartNumberingAfterBreak="0">
    <w:nsid w:val="3C80436A"/>
    <w:multiLevelType w:val="hybridMultilevel"/>
    <w:tmpl w:val="52982912"/>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70B2AD1"/>
    <w:multiLevelType w:val="hybridMultilevel"/>
    <w:tmpl w:val="8CAC47EE"/>
    <w:lvl w:ilvl="0" w:tplc="6DBC51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1827EF"/>
    <w:multiLevelType w:val="hybridMultilevel"/>
    <w:tmpl w:val="64F2211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8570808"/>
    <w:multiLevelType w:val="hybridMultilevel"/>
    <w:tmpl w:val="822EAE9A"/>
    <w:lvl w:ilvl="0" w:tplc="D6D42FC0">
      <w:start w:val="1"/>
      <w:numFmt w:val="bullet"/>
      <w:lvlText w:val=""/>
      <w:lvlJc w:val="left"/>
      <w:pPr>
        <w:ind w:left="540" w:hanging="360"/>
      </w:pPr>
      <w:rPr>
        <w:rFonts w:ascii="Wingdings" w:hAnsi="Wingdings" w:hint="default"/>
      </w:rPr>
    </w:lvl>
    <w:lvl w:ilvl="1" w:tplc="58BCB764">
      <w:start w:val="1"/>
      <w:numFmt w:val="bullet"/>
      <w:lvlText w:val="o"/>
      <w:lvlJc w:val="left"/>
      <w:pPr>
        <w:ind w:left="1260" w:hanging="360"/>
      </w:pPr>
      <w:rPr>
        <w:rFonts w:ascii="Courier New" w:hAnsi="Courier New" w:hint="default"/>
      </w:rPr>
    </w:lvl>
    <w:lvl w:ilvl="2" w:tplc="E982BEF8">
      <w:start w:val="1"/>
      <w:numFmt w:val="bullet"/>
      <w:lvlText w:val=""/>
      <w:lvlJc w:val="left"/>
      <w:pPr>
        <w:ind w:left="1980" w:hanging="360"/>
      </w:pPr>
      <w:rPr>
        <w:rFonts w:ascii="Wingdings" w:hAnsi="Wingdings" w:hint="default"/>
      </w:rPr>
    </w:lvl>
    <w:lvl w:ilvl="3" w:tplc="BAF4AD1E">
      <w:start w:val="1"/>
      <w:numFmt w:val="bullet"/>
      <w:lvlText w:val=""/>
      <w:lvlJc w:val="left"/>
      <w:pPr>
        <w:ind w:left="2700" w:hanging="360"/>
      </w:pPr>
      <w:rPr>
        <w:rFonts w:ascii="Symbol" w:hAnsi="Symbol" w:hint="default"/>
      </w:rPr>
    </w:lvl>
    <w:lvl w:ilvl="4" w:tplc="D264EBA8">
      <w:start w:val="1"/>
      <w:numFmt w:val="bullet"/>
      <w:lvlText w:val="o"/>
      <w:lvlJc w:val="left"/>
      <w:pPr>
        <w:ind w:left="3420" w:hanging="360"/>
      </w:pPr>
      <w:rPr>
        <w:rFonts w:ascii="Courier New" w:hAnsi="Courier New" w:hint="default"/>
      </w:rPr>
    </w:lvl>
    <w:lvl w:ilvl="5" w:tplc="0EAC4DB6">
      <w:start w:val="1"/>
      <w:numFmt w:val="bullet"/>
      <w:lvlText w:val=""/>
      <w:lvlJc w:val="left"/>
      <w:pPr>
        <w:ind w:left="4140" w:hanging="360"/>
      </w:pPr>
      <w:rPr>
        <w:rFonts w:ascii="Wingdings" w:hAnsi="Wingdings" w:hint="default"/>
      </w:rPr>
    </w:lvl>
    <w:lvl w:ilvl="6" w:tplc="AB72E238">
      <w:start w:val="1"/>
      <w:numFmt w:val="bullet"/>
      <w:lvlText w:val=""/>
      <w:lvlJc w:val="left"/>
      <w:pPr>
        <w:ind w:left="4860" w:hanging="360"/>
      </w:pPr>
      <w:rPr>
        <w:rFonts w:ascii="Symbol" w:hAnsi="Symbol" w:hint="default"/>
      </w:rPr>
    </w:lvl>
    <w:lvl w:ilvl="7" w:tplc="FA5E9832">
      <w:start w:val="1"/>
      <w:numFmt w:val="bullet"/>
      <w:lvlText w:val="o"/>
      <w:lvlJc w:val="left"/>
      <w:pPr>
        <w:ind w:left="5580" w:hanging="360"/>
      </w:pPr>
      <w:rPr>
        <w:rFonts w:ascii="Courier New" w:hAnsi="Courier New" w:hint="default"/>
      </w:rPr>
    </w:lvl>
    <w:lvl w:ilvl="8" w:tplc="3F9EFA72">
      <w:start w:val="1"/>
      <w:numFmt w:val="bullet"/>
      <w:lvlText w:val=""/>
      <w:lvlJc w:val="left"/>
      <w:pPr>
        <w:ind w:left="6300" w:hanging="360"/>
      </w:pPr>
      <w:rPr>
        <w:rFonts w:ascii="Wingdings" w:hAnsi="Wingdings" w:hint="default"/>
      </w:rPr>
    </w:lvl>
  </w:abstractNum>
  <w:abstractNum w:abstractNumId="31" w15:restartNumberingAfterBreak="0">
    <w:nsid w:val="4A543F8E"/>
    <w:multiLevelType w:val="hybridMultilevel"/>
    <w:tmpl w:val="17928D9C"/>
    <w:lvl w:ilvl="0" w:tplc="2612C5C0">
      <w:start w:val="1"/>
      <w:numFmt w:val="lowerLetter"/>
      <w:lvlText w:val="(%1)"/>
      <w:lvlJc w:val="left"/>
      <w:pPr>
        <w:ind w:left="360" w:hanging="360"/>
      </w:pPr>
      <w:rPr>
        <w:rFonts w:hint="default"/>
        <w:b w:val="0"/>
        <w:bCs w:val="0"/>
        <w:i w:val="0"/>
        <w:i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50703016"/>
    <w:multiLevelType w:val="hybridMultilevel"/>
    <w:tmpl w:val="A7700970"/>
    <w:lvl w:ilvl="0" w:tplc="A232DA0C">
      <w:start w:val="1"/>
      <w:numFmt w:val="lowerLetter"/>
      <w:lvlText w:val="(%1)"/>
      <w:lvlJc w:val="left"/>
      <w:pPr>
        <w:ind w:left="900" w:hanging="360"/>
      </w:pPr>
    </w:lvl>
    <w:lvl w:ilvl="1" w:tplc="40090019">
      <w:start w:val="1"/>
      <w:numFmt w:val="lowerLetter"/>
      <w:lvlText w:val="%2."/>
      <w:lvlJc w:val="left"/>
      <w:pPr>
        <w:ind w:left="1620" w:hanging="360"/>
      </w:pPr>
    </w:lvl>
    <w:lvl w:ilvl="2" w:tplc="4009001B">
      <w:start w:val="1"/>
      <w:numFmt w:val="lowerRoman"/>
      <w:lvlText w:val="%3."/>
      <w:lvlJc w:val="right"/>
      <w:pPr>
        <w:ind w:left="2340" w:hanging="180"/>
      </w:pPr>
    </w:lvl>
    <w:lvl w:ilvl="3" w:tplc="4009000F">
      <w:start w:val="1"/>
      <w:numFmt w:val="decimal"/>
      <w:lvlText w:val="%4."/>
      <w:lvlJc w:val="left"/>
      <w:pPr>
        <w:ind w:left="3060" w:hanging="360"/>
      </w:pPr>
    </w:lvl>
    <w:lvl w:ilvl="4" w:tplc="40090019">
      <w:start w:val="1"/>
      <w:numFmt w:val="lowerLetter"/>
      <w:lvlText w:val="%5."/>
      <w:lvlJc w:val="left"/>
      <w:pPr>
        <w:ind w:left="3780" w:hanging="360"/>
      </w:pPr>
    </w:lvl>
    <w:lvl w:ilvl="5" w:tplc="4009001B">
      <w:start w:val="1"/>
      <w:numFmt w:val="lowerRoman"/>
      <w:lvlText w:val="%6."/>
      <w:lvlJc w:val="right"/>
      <w:pPr>
        <w:ind w:left="4500" w:hanging="180"/>
      </w:pPr>
    </w:lvl>
    <w:lvl w:ilvl="6" w:tplc="4009000F">
      <w:start w:val="1"/>
      <w:numFmt w:val="decimal"/>
      <w:lvlText w:val="%7."/>
      <w:lvlJc w:val="left"/>
      <w:pPr>
        <w:ind w:left="5220" w:hanging="360"/>
      </w:pPr>
    </w:lvl>
    <w:lvl w:ilvl="7" w:tplc="40090019">
      <w:start w:val="1"/>
      <w:numFmt w:val="lowerLetter"/>
      <w:lvlText w:val="%8."/>
      <w:lvlJc w:val="left"/>
      <w:pPr>
        <w:ind w:left="5940" w:hanging="360"/>
      </w:pPr>
    </w:lvl>
    <w:lvl w:ilvl="8" w:tplc="4009001B">
      <w:start w:val="1"/>
      <w:numFmt w:val="lowerRoman"/>
      <w:lvlText w:val="%9."/>
      <w:lvlJc w:val="right"/>
      <w:pPr>
        <w:ind w:left="6660" w:hanging="180"/>
      </w:pPr>
    </w:lvl>
  </w:abstractNum>
  <w:abstractNum w:abstractNumId="33" w15:restartNumberingAfterBreak="0">
    <w:nsid w:val="529F749D"/>
    <w:multiLevelType w:val="hybridMultilevel"/>
    <w:tmpl w:val="D81C4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7C701E"/>
    <w:multiLevelType w:val="hybridMultilevel"/>
    <w:tmpl w:val="44666F22"/>
    <w:lvl w:ilvl="0" w:tplc="926C9EE6">
      <w:start w:val="1"/>
      <w:numFmt w:val="lowerRoman"/>
      <w:lvlText w:val="(%1)"/>
      <w:lvlJc w:val="left"/>
      <w:pPr>
        <w:ind w:left="1440" w:hanging="72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56861FA2"/>
    <w:multiLevelType w:val="multilevel"/>
    <w:tmpl w:val="88104488"/>
    <w:lvl w:ilvl="0">
      <w:start w:val="1"/>
      <w:numFmt w:val="decimal"/>
      <w:lvlText w:val="%1"/>
      <w:lvlJc w:val="left"/>
      <w:pPr>
        <w:ind w:left="720" w:hanging="720"/>
      </w:pPr>
      <w:rPr>
        <w:rFonts w:hint="default"/>
        <w:b/>
      </w:rPr>
    </w:lvl>
    <w:lvl w:ilvl="1">
      <w:start w:val="1"/>
      <w:numFmt w:val="decimal"/>
      <w:pStyle w:val="Heading2"/>
      <w:lvlText w:val="%1.%2"/>
      <w:lvlJc w:val="left"/>
      <w:pPr>
        <w:ind w:left="720" w:hanging="720"/>
      </w:pPr>
      <w:rPr>
        <w:rFonts w:hint="default"/>
        <w:b/>
        <w:i w:val="0"/>
      </w:rPr>
    </w:lvl>
    <w:lvl w:ilvl="2">
      <w:start w:val="1"/>
      <w:numFmt w:val="decimal"/>
      <w:pStyle w:val="Heading3"/>
      <w:lvlText w:val="%1.%2.%3"/>
      <w:lvlJc w:val="left"/>
      <w:pPr>
        <w:ind w:left="1440" w:hanging="720"/>
      </w:pPr>
      <w:rPr>
        <w:rFonts w:hint="default"/>
        <w:u w:val="words"/>
      </w:rPr>
    </w:lvl>
    <w:lvl w:ilvl="3">
      <w:start w:val="1"/>
      <w:numFmt w:val="lowerLetter"/>
      <w:pStyle w:val="Heading4"/>
      <w:lvlText w:val="(%4)"/>
      <w:lvlJc w:val="left"/>
      <w:pPr>
        <w:tabs>
          <w:tab w:val="num" w:pos="1440"/>
        </w:tabs>
        <w:ind w:left="2160" w:hanging="720"/>
      </w:pPr>
      <w:rPr>
        <w:rFonts w:hint="default"/>
        <w:u w:val="words"/>
      </w:rPr>
    </w:lvl>
    <w:lvl w:ilvl="4">
      <w:start w:val="1"/>
      <w:numFmt w:val="lowerRoman"/>
      <w:pStyle w:val="Heading5"/>
      <w:lvlText w:val="(%5)"/>
      <w:lvlJc w:val="left"/>
      <w:pPr>
        <w:ind w:left="2880" w:hanging="72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571E6517"/>
    <w:multiLevelType w:val="hybridMultilevel"/>
    <w:tmpl w:val="F13E69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E2C10EC"/>
    <w:multiLevelType w:val="multilevel"/>
    <w:tmpl w:val="E01C5450"/>
    <w:lvl w:ilvl="0">
      <w:start w:val="1"/>
      <w:numFmt w:val="lowerLetter"/>
      <w:lvlText w:val="%1)"/>
      <w:lvlJc w:val="left"/>
      <w:pPr>
        <w:ind w:left="567" w:hanging="283"/>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6AB86418"/>
    <w:multiLevelType w:val="hybridMultilevel"/>
    <w:tmpl w:val="D626EAD6"/>
    <w:lvl w:ilvl="0" w:tplc="0A42DCBC">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B4C1898"/>
    <w:multiLevelType w:val="hybridMultilevel"/>
    <w:tmpl w:val="2E642F00"/>
    <w:lvl w:ilvl="0" w:tplc="8356E26E">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CC349E9"/>
    <w:multiLevelType w:val="hybridMultilevel"/>
    <w:tmpl w:val="6CB609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DE23E3F"/>
    <w:multiLevelType w:val="hybridMultilevel"/>
    <w:tmpl w:val="88ACD2BA"/>
    <w:lvl w:ilvl="0" w:tplc="C6BEDD58">
      <w:start w:val="1"/>
      <w:numFmt w:val="lowerLetter"/>
      <w:lvlText w:val="%1)"/>
      <w:lvlJc w:val="left"/>
      <w:pPr>
        <w:ind w:left="900" w:hanging="360"/>
      </w:pPr>
    </w:lvl>
    <w:lvl w:ilvl="1" w:tplc="3DE8773E">
      <w:start w:val="1"/>
      <w:numFmt w:val="lowerLetter"/>
      <w:lvlText w:val="%2."/>
      <w:lvlJc w:val="left"/>
      <w:pPr>
        <w:ind w:left="1620" w:hanging="360"/>
      </w:pPr>
    </w:lvl>
    <w:lvl w:ilvl="2" w:tplc="FD2881BC">
      <w:start w:val="1"/>
      <w:numFmt w:val="lowerRoman"/>
      <w:lvlText w:val="%3."/>
      <w:lvlJc w:val="right"/>
      <w:pPr>
        <w:ind w:left="2340" w:hanging="180"/>
      </w:pPr>
    </w:lvl>
    <w:lvl w:ilvl="3" w:tplc="A5FC2DF6">
      <w:start w:val="1"/>
      <w:numFmt w:val="decimal"/>
      <w:lvlText w:val="%4."/>
      <w:lvlJc w:val="left"/>
      <w:pPr>
        <w:ind w:left="3060" w:hanging="360"/>
      </w:pPr>
    </w:lvl>
    <w:lvl w:ilvl="4" w:tplc="83CC9B9C">
      <w:start w:val="1"/>
      <w:numFmt w:val="lowerLetter"/>
      <w:lvlText w:val="%5."/>
      <w:lvlJc w:val="left"/>
      <w:pPr>
        <w:ind w:left="3780" w:hanging="360"/>
      </w:pPr>
    </w:lvl>
    <w:lvl w:ilvl="5" w:tplc="53A2F814">
      <w:start w:val="1"/>
      <w:numFmt w:val="lowerRoman"/>
      <w:lvlText w:val="%6."/>
      <w:lvlJc w:val="right"/>
      <w:pPr>
        <w:ind w:left="4500" w:hanging="180"/>
      </w:pPr>
    </w:lvl>
    <w:lvl w:ilvl="6" w:tplc="C24C5424">
      <w:start w:val="1"/>
      <w:numFmt w:val="decimal"/>
      <w:lvlText w:val="%7."/>
      <w:lvlJc w:val="left"/>
      <w:pPr>
        <w:ind w:left="5220" w:hanging="360"/>
      </w:pPr>
    </w:lvl>
    <w:lvl w:ilvl="7" w:tplc="5440A876">
      <w:start w:val="1"/>
      <w:numFmt w:val="lowerLetter"/>
      <w:lvlText w:val="%8."/>
      <w:lvlJc w:val="left"/>
      <w:pPr>
        <w:ind w:left="5940" w:hanging="360"/>
      </w:pPr>
    </w:lvl>
    <w:lvl w:ilvl="8" w:tplc="671AC16E">
      <w:start w:val="1"/>
      <w:numFmt w:val="lowerRoman"/>
      <w:lvlText w:val="%9."/>
      <w:lvlJc w:val="right"/>
      <w:pPr>
        <w:ind w:left="6660" w:hanging="180"/>
      </w:pPr>
    </w:lvl>
  </w:abstractNum>
  <w:abstractNum w:abstractNumId="42" w15:restartNumberingAfterBreak="0">
    <w:nsid w:val="736414B1"/>
    <w:multiLevelType w:val="hybridMultilevel"/>
    <w:tmpl w:val="41BE8F8A"/>
    <w:lvl w:ilvl="0" w:tplc="598E17D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754A591C"/>
    <w:multiLevelType w:val="hybridMultilevel"/>
    <w:tmpl w:val="3D04245C"/>
    <w:lvl w:ilvl="0" w:tplc="4EB4C366">
      <w:start w:val="1"/>
      <w:numFmt w:val="decimal"/>
      <w:lvlText w:val="%1."/>
      <w:lvlJc w:val="left"/>
      <w:pPr>
        <w:ind w:left="717" w:hanging="360"/>
      </w:pPr>
      <w:rPr>
        <w:rFonts w:hint="default"/>
        <w:i/>
        <w:iCs/>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44" w15:restartNumberingAfterBreak="0">
    <w:nsid w:val="766D08CD"/>
    <w:multiLevelType w:val="hybridMultilevel"/>
    <w:tmpl w:val="3866EAE0"/>
    <w:lvl w:ilvl="0" w:tplc="4DBA5984">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767E02AE"/>
    <w:multiLevelType w:val="hybridMultilevel"/>
    <w:tmpl w:val="52982912"/>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70F46D0"/>
    <w:multiLevelType w:val="hybridMultilevel"/>
    <w:tmpl w:val="A3B01C32"/>
    <w:lvl w:ilvl="0" w:tplc="0E0682C0">
      <w:start w:val="1"/>
      <w:numFmt w:val="upperLetter"/>
      <w:lvlText w:val="%1."/>
      <w:lvlJc w:val="left"/>
      <w:pPr>
        <w:ind w:left="360" w:hanging="360"/>
      </w:pPr>
      <w:rPr>
        <w:rFonts w:hint="default"/>
        <w:i w:val="0"/>
        <w:i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7DCA1517"/>
    <w:multiLevelType w:val="multilevel"/>
    <w:tmpl w:val="CE24D474"/>
    <w:lvl w:ilvl="0">
      <w:start w:val="1"/>
      <w:numFmt w:val="bullet"/>
      <w:pStyle w:val="TOC3"/>
      <w:lvlText w:val=""/>
      <w:lvlJc w:val="left"/>
      <w:pPr>
        <w:ind w:left="0" w:firstLine="0"/>
      </w:pPr>
      <w:rPr>
        <w:rFonts w:ascii="Symbol" w:hAnsi="Symbol" w:hint="default"/>
        <w:color w:val="808080" w:themeColor="background1"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E7A64A1"/>
    <w:multiLevelType w:val="multilevel"/>
    <w:tmpl w:val="4BD24D94"/>
    <w:lvl w:ilvl="0">
      <w:start w:val="1"/>
      <w:numFmt w:val="bullet"/>
      <w:lvlText w:val=""/>
      <w:lvlJc w:val="left"/>
      <w:pPr>
        <w:ind w:left="357" w:hanging="357"/>
      </w:pPr>
      <w:rPr>
        <w:rFonts w:ascii="Wingdings" w:hAnsi="Wingding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16cid:durableId="1525943619">
    <w:abstractNumId w:val="0"/>
  </w:num>
  <w:num w:numId="2" w16cid:durableId="1753352839">
    <w:abstractNumId w:val="35"/>
  </w:num>
  <w:num w:numId="3" w16cid:durableId="1412002266">
    <w:abstractNumId w:val="47"/>
  </w:num>
  <w:num w:numId="4" w16cid:durableId="382482831">
    <w:abstractNumId w:val="16"/>
  </w:num>
  <w:num w:numId="5" w16cid:durableId="855264272">
    <w:abstractNumId w:val="9"/>
  </w:num>
  <w:num w:numId="6" w16cid:durableId="1043482928">
    <w:abstractNumId w:val="7"/>
  </w:num>
  <w:num w:numId="7" w16cid:durableId="1736053223">
    <w:abstractNumId w:val="6"/>
  </w:num>
  <w:num w:numId="8" w16cid:durableId="1834293965">
    <w:abstractNumId w:val="5"/>
  </w:num>
  <w:num w:numId="9" w16cid:durableId="1582790625">
    <w:abstractNumId w:val="4"/>
  </w:num>
  <w:num w:numId="10" w16cid:durableId="609359792">
    <w:abstractNumId w:val="8"/>
  </w:num>
  <w:num w:numId="11" w16cid:durableId="528421771">
    <w:abstractNumId w:val="3"/>
  </w:num>
  <w:num w:numId="12" w16cid:durableId="1854875451">
    <w:abstractNumId w:val="2"/>
  </w:num>
  <w:num w:numId="13" w16cid:durableId="287317248">
    <w:abstractNumId w:val="1"/>
  </w:num>
  <w:num w:numId="14" w16cid:durableId="371923371">
    <w:abstractNumId w:val="40"/>
  </w:num>
  <w:num w:numId="15" w16cid:durableId="34354783">
    <w:abstractNumId w:val="20"/>
  </w:num>
  <w:num w:numId="16" w16cid:durableId="3631417">
    <w:abstractNumId w:val="48"/>
  </w:num>
  <w:num w:numId="17" w16cid:durableId="1584030879">
    <w:abstractNumId w:val="11"/>
  </w:num>
  <w:num w:numId="18" w16cid:durableId="720985427">
    <w:abstractNumId w:val="13"/>
  </w:num>
  <w:num w:numId="19" w16cid:durableId="1509246699">
    <w:abstractNumId w:val="37"/>
  </w:num>
  <w:num w:numId="20" w16cid:durableId="1625310480">
    <w:abstractNumId w:val="28"/>
  </w:num>
  <w:num w:numId="21" w16cid:durableId="1373070303">
    <w:abstractNumId w:val="22"/>
  </w:num>
  <w:num w:numId="22" w16cid:durableId="904222946">
    <w:abstractNumId w:val="26"/>
  </w:num>
  <w:num w:numId="23" w16cid:durableId="2013070955">
    <w:abstractNumId w:val="24"/>
  </w:num>
  <w:num w:numId="24" w16cid:durableId="1432164038">
    <w:abstractNumId w:val="41"/>
  </w:num>
  <w:num w:numId="25" w16cid:durableId="1600287342">
    <w:abstractNumId w:val="21"/>
  </w:num>
  <w:num w:numId="26" w16cid:durableId="718743351">
    <w:abstractNumId w:val="23"/>
  </w:num>
  <w:num w:numId="27" w16cid:durableId="923416680">
    <w:abstractNumId w:val="30"/>
  </w:num>
  <w:num w:numId="28" w16cid:durableId="261450553">
    <w:abstractNumId w:val="10"/>
  </w:num>
  <w:num w:numId="29" w16cid:durableId="1827167657">
    <w:abstractNumId w:val="33"/>
  </w:num>
  <w:num w:numId="30" w16cid:durableId="17277966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6664419">
    <w:abstractNumId w:val="14"/>
  </w:num>
  <w:num w:numId="32" w16cid:durableId="78254022">
    <w:abstractNumId w:val="29"/>
  </w:num>
  <w:num w:numId="33" w16cid:durableId="95057769">
    <w:abstractNumId w:val="18"/>
  </w:num>
  <w:num w:numId="34" w16cid:durableId="1555965575">
    <w:abstractNumId w:val="34"/>
  </w:num>
  <w:num w:numId="35" w16cid:durableId="1118530927">
    <w:abstractNumId w:val="31"/>
  </w:num>
  <w:num w:numId="36" w16cid:durableId="1070999986">
    <w:abstractNumId w:val="36"/>
  </w:num>
  <w:num w:numId="37" w16cid:durableId="1507986125">
    <w:abstractNumId w:val="17"/>
  </w:num>
  <w:num w:numId="38" w16cid:durableId="136798024">
    <w:abstractNumId w:val="19"/>
  </w:num>
  <w:num w:numId="39" w16cid:durableId="9450262">
    <w:abstractNumId w:val="27"/>
  </w:num>
  <w:num w:numId="40" w16cid:durableId="1265770988">
    <w:abstractNumId w:val="12"/>
  </w:num>
  <w:num w:numId="41" w16cid:durableId="2083677094">
    <w:abstractNumId w:val="42"/>
  </w:num>
  <w:num w:numId="42" w16cid:durableId="815298224">
    <w:abstractNumId w:val="43"/>
  </w:num>
  <w:num w:numId="43" w16cid:durableId="1801605291">
    <w:abstractNumId w:val="45"/>
  </w:num>
  <w:num w:numId="44" w16cid:durableId="922296826">
    <w:abstractNumId w:val="25"/>
  </w:num>
  <w:num w:numId="45" w16cid:durableId="1356928686">
    <w:abstractNumId w:val="39"/>
  </w:num>
  <w:num w:numId="46" w16cid:durableId="2108962315">
    <w:abstractNumId w:val="44"/>
  </w:num>
  <w:num w:numId="47" w16cid:durableId="581138365">
    <w:abstractNumId w:val="46"/>
  </w:num>
  <w:num w:numId="48" w16cid:durableId="1873346804">
    <w:abstractNumId w:val="15"/>
  </w:num>
  <w:num w:numId="49" w16cid:durableId="196046638">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BF8"/>
    <w:rsid w:val="00002312"/>
    <w:rsid w:val="00005627"/>
    <w:rsid w:val="00005BCB"/>
    <w:rsid w:val="00006CE5"/>
    <w:rsid w:val="00007AE9"/>
    <w:rsid w:val="00011BE9"/>
    <w:rsid w:val="0001527D"/>
    <w:rsid w:val="00015A3D"/>
    <w:rsid w:val="0001637D"/>
    <w:rsid w:val="00017B26"/>
    <w:rsid w:val="00017BC5"/>
    <w:rsid w:val="00017E2D"/>
    <w:rsid w:val="00020662"/>
    <w:rsid w:val="00020A0C"/>
    <w:rsid w:val="0002116F"/>
    <w:rsid w:val="00033923"/>
    <w:rsid w:val="00033A2A"/>
    <w:rsid w:val="00034277"/>
    <w:rsid w:val="000343EB"/>
    <w:rsid w:val="000348F7"/>
    <w:rsid w:val="00035023"/>
    <w:rsid w:val="0003638D"/>
    <w:rsid w:val="00037441"/>
    <w:rsid w:val="00041C16"/>
    <w:rsid w:val="00042D59"/>
    <w:rsid w:val="00045011"/>
    <w:rsid w:val="00045A75"/>
    <w:rsid w:val="00046E52"/>
    <w:rsid w:val="00047808"/>
    <w:rsid w:val="00047D7D"/>
    <w:rsid w:val="00050D38"/>
    <w:rsid w:val="00051C55"/>
    <w:rsid w:val="00052AA0"/>
    <w:rsid w:val="000563C3"/>
    <w:rsid w:val="0005660F"/>
    <w:rsid w:val="00060A3A"/>
    <w:rsid w:val="00060C8E"/>
    <w:rsid w:val="00061011"/>
    <w:rsid w:val="000650EA"/>
    <w:rsid w:val="000678A6"/>
    <w:rsid w:val="0007051D"/>
    <w:rsid w:val="000709C9"/>
    <w:rsid w:val="0007761F"/>
    <w:rsid w:val="00080351"/>
    <w:rsid w:val="0008050B"/>
    <w:rsid w:val="00080C16"/>
    <w:rsid w:val="000834DA"/>
    <w:rsid w:val="00083838"/>
    <w:rsid w:val="00090798"/>
    <w:rsid w:val="00090DF6"/>
    <w:rsid w:val="00097C44"/>
    <w:rsid w:val="000A371A"/>
    <w:rsid w:val="000A44F0"/>
    <w:rsid w:val="000A615A"/>
    <w:rsid w:val="000B2B42"/>
    <w:rsid w:val="000B2DFC"/>
    <w:rsid w:val="000B3B59"/>
    <w:rsid w:val="000B4315"/>
    <w:rsid w:val="000B50C2"/>
    <w:rsid w:val="000B6D7A"/>
    <w:rsid w:val="000C397C"/>
    <w:rsid w:val="000C3C8B"/>
    <w:rsid w:val="000C4C87"/>
    <w:rsid w:val="000C716A"/>
    <w:rsid w:val="000D083E"/>
    <w:rsid w:val="000D099E"/>
    <w:rsid w:val="000D1DD2"/>
    <w:rsid w:val="000D4943"/>
    <w:rsid w:val="000D52BE"/>
    <w:rsid w:val="000D5F67"/>
    <w:rsid w:val="000D70FC"/>
    <w:rsid w:val="000E0DAF"/>
    <w:rsid w:val="000E1053"/>
    <w:rsid w:val="000E11C5"/>
    <w:rsid w:val="000E19B1"/>
    <w:rsid w:val="000E3600"/>
    <w:rsid w:val="000E46E8"/>
    <w:rsid w:val="000E52BC"/>
    <w:rsid w:val="000E5E46"/>
    <w:rsid w:val="000E6F06"/>
    <w:rsid w:val="000E7817"/>
    <w:rsid w:val="000E7F97"/>
    <w:rsid w:val="000F0169"/>
    <w:rsid w:val="000F2D7B"/>
    <w:rsid w:val="000F3EA5"/>
    <w:rsid w:val="000F42EE"/>
    <w:rsid w:val="000F4880"/>
    <w:rsid w:val="000F521C"/>
    <w:rsid w:val="000F5A1F"/>
    <w:rsid w:val="00101554"/>
    <w:rsid w:val="00101BA0"/>
    <w:rsid w:val="00103DB0"/>
    <w:rsid w:val="001071E8"/>
    <w:rsid w:val="00110F22"/>
    <w:rsid w:val="001118CE"/>
    <w:rsid w:val="00112E01"/>
    <w:rsid w:val="0011303E"/>
    <w:rsid w:val="00117CB8"/>
    <w:rsid w:val="00117F72"/>
    <w:rsid w:val="001252B4"/>
    <w:rsid w:val="001309D3"/>
    <w:rsid w:val="00130D50"/>
    <w:rsid w:val="001317AB"/>
    <w:rsid w:val="00131886"/>
    <w:rsid w:val="0013240F"/>
    <w:rsid w:val="00133614"/>
    <w:rsid w:val="00133645"/>
    <w:rsid w:val="00135CE8"/>
    <w:rsid w:val="00141756"/>
    <w:rsid w:val="00142D27"/>
    <w:rsid w:val="00143021"/>
    <w:rsid w:val="0014542C"/>
    <w:rsid w:val="0014591A"/>
    <w:rsid w:val="00145D5A"/>
    <w:rsid w:val="00146D3F"/>
    <w:rsid w:val="00146DD9"/>
    <w:rsid w:val="0015118D"/>
    <w:rsid w:val="00151BFF"/>
    <w:rsid w:val="001542D1"/>
    <w:rsid w:val="00160419"/>
    <w:rsid w:val="00161270"/>
    <w:rsid w:val="00162A3B"/>
    <w:rsid w:val="001644C5"/>
    <w:rsid w:val="00164D14"/>
    <w:rsid w:val="00165C33"/>
    <w:rsid w:val="001663F4"/>
    <w:rsid w:val="001664FE"/>
    <w:rsid w:val="0016775E"/>
    <w:rsid w:val="001708A8"/>
    <w:rsid w:val="00171788"/>
    <w:rsid w:val="00172E21"/>
    <w:rsid w:val="00173446"/>
    <w:rsid w:val="00173777"/>
    <w:rsid w:val="00173B1B"/>
    <w:rsid w:val="00177393"/>
    <w:rsid w:val="00182F30"/>
    <w:rsid w:val="00184482"/>
    <w:rsid w:val="00184648"/>
    <w:rsid w:val="0018505C"/>
    <w:rsid w:val="001851D6"/>
    <w:rsid w:val="00187DC6"/>
    <w:rsid w:val="0019194B"/>
    <w:rsid w:val="00191F2C"/>
    <w:rsid w:val="00192B55"/>
    <w:rsid w:val="00193F7F"/>
    <w:rsid w:val="00194391"/>
    <w:rsid w:val="001947F5"/>
    <w:rsid w:val="001A053E"/>
    <w:rsid w:val="001A24E9"/>
    <w:rsid w:val="001A25F3"/>
    <w:rsid w:val="001A2BC6"/>
    <w:rsid w:val="001A3494"/>
    <w:rsid w:val="001A5A3D"/>
    <w:rsid w:val="001B07EC"/>
    <w:rsid w:val="001B0DFC"/>
    <w:rsid w:val="001B298E"/>
    <w:rsid w:val="001B55AA"/>
    <w:rsid w:val="001B57D2"/>
    <w:rsid w:val="001B5B7A"/>
    <w:rsid w:val="001C0C87"/>
    <w:rsid w:val="001D13B1"/>
    <w:rsid w:val="001D4A6E"/>
    <w:rsid w:val="001D5F39"/>
    <w:rsid w:val="001D66DD"/>
    <w:rsid w:val="001D6953"/>
    <w:rsid w:val="001D782B"/>
    <w:rsid w:val="001E1993"/>
    <w:rsid w:val="001E1F06"/>
    <w:rsid w:val="001E2EF7"/>
    <w:rsid w:val="001E363A"/>
    <w:rsid w:val="001E3D68"/>
    <w:rsid w:val="001E4994"/>
    <w:rsid w:val="001E4B3C"/>
    <w:rsid w:val="001E6FFD"/>
    <w:rsid w:val="001F04ED"/>
    <w:rsid w:val="001F2EBA"/>
    <w:rsid w:val="001F2FC2"/>
    <w:rsid w:val="001F32E4"/>
    <w:rsid w:val="001F3B8E"/>
    <w:rsid w:val="001F6500"/>
    <w:rsid w:val="0020044B"/>
    <w:rsid w:val="00201334"/>
    <w:rsid w:val="00203810"/>
    <w:rsid w:val="00204B44"/>
    <w:rsid w:val="00206C9E"/>
    <w:rsid w:val="00207388"/>
    <w:rsid w:val="002074D2"/>
    <w:rsid w:val="0021010B"/>
    <w:rsid w:val="00210CBC"/>
    <w:rsid w:val="00215BD2"/>
    <w:rsid w:val="00217E45"/>
    <w:rsid w:val="00217E8D"/>
    <w:rsid w:val="00220233"/>
    <w:rsid w:val="00221FEF"/>
    <w:rsid w:val="0022680B"/>
    <w:rsid w:val="00230554"/>
    <w:rsid w:val="00234508"/>
    <w:rsid w:val="00234A1D"/>
    <w:rsid w:val="00235122"/>
    <w:rsid w:val="00236595"/>
    <w:rsid w:val="00236E0B"/>
    <w:rsid w:val="002378C8"/>
    <w:rsid w:val="002408E3"/>
    <w:rsid w:val="00243352"/>
    <w:rsid w:val="002445D0"/>
    <w:rsid w:val="0024462A"/>
    <w:rsid w:val="00244BB3"/>
    <w:rsid w:val="00244F2B"/>
    <w:rsid w:val="00245C80"/>
    <w:rsid w:val="00246E7A"/>
    <w:rsid w:val="00250728"/>
    <w:rsid w:val="00250AF9"/>
    <w:rsid w:val="002514D0"/>
    <w:rsid w:val="002543B3"/>
    <w:rsid w:val="002547BA"/>
    <w:rsid w:val="002608A8"/>
    <w:rsid w:val="00263D61"/>
    <w:rsid w:val="00264037"/>
    <w:rsid w:val="0026457C"/>
    <w:rsid w:val="002647FB"/>
    <w:rsid w:val="002655AC"/>
    <w:rsid w:val="00270B31"/>
    <w:rsid w:val="002738DC"/>
    <w:rsid w:val="00276B6D"/>
    <w:rsid w:val="00276E91"/>
    <w:rsid w:val="002779DD"/>
    <w:rsid w:val="00281B76"/>
    <w:rsid w:val="002824F8"/>
    <w:rsid w:val="00282997"/>
    <w:rsid w:val="00285C62"/>
    <w:rsid w:val="0029082C"/>
    <w:rsid w:val="00294410"/>
    <w:rsid w:val="002949C3"/>
    <w:rsid w:val="00295503"/>
    <w:rsid w:val="00297E61"/>
    <w:rsid w:val="002A0D92"/>
    <w:rsid w:val="002A1C35"/>
    <w:rsid w:val="002A47C3"/>
    <w:rsid w:val="002A4DD6"/>
    <w:rsid w:val="002A6A24"/>
    <w:rsid w:val="002B297B"/>
    <w:rsid w:val="002B3D3D"/>
    <w:rsid w:val="002B5CBA"/>
    <w:rsid w:val="002C11E1"/>
    <w:rsid w:val="002C1AD2"/>
    <w:rsid w:val="002C30B9"/>
    <w:rsid w:val="002C33E0"/>
    <w:rsid w:val="002C55EA"/>
    <w:rsid w:val="002C7461"/>
    <w:rsid w:val="002C7F2C"/>
    <w:rsid w:val="002D031E"/>
    <w:rsid w:val="002D07F8"/>
    <w:rsid w:val="002D2024"/>
    <w:rsid w:val="002D292B"/>
    <w:rsid w:val="002D437B"/>
    <w:rsid w:val="002D46A8"/>
    <w:rsid w:val="002D5397"/>
    <w:rsid w:val="002D6FF4"/>
    <w:rsid w:val="002E3FF0"/>
    <w:rsid w:val="002E43BE"/>
    <w:rsid w:val="002E6052"/>
    <w:rsid w:val="002E7DF8"/>
    <w:rsid w:val="002F2517"/>
    <w:rsid w:val="002F32FE"/>
    <w:rsid w:val="002F33F9"/>
    <w:rsid w:val="002F46B2"/>
    <w:rsid w:val="002F5089"/>
    <w:rsid w:val="002F5647"/>
    <w:rsid w:val="002F6394"/>
    <w:rsid w:val="00300BCB"/>
    <w:rsid w:val="00304562"/>
    <w:rsid w:val="00307C08"/>
    <w:rsid w:val="003119ED"/>
    <w:rsid w:val="0031505E"/>
    <w:rsid w:val="00315078"/>
    <w:rsid w:val="003219FE"/>
    <w:rsid w:val="003229E8"/>
    <w:rsid w:val="00326CBD"/>
    <w:rsid w:val="00327EC3"/>
    <w:rsid w:val="003302D2"/>
    <w:rsid w:val="00330D7C"/>
    <w:rsid w:val="00330F69"/>
    <w:rsid w:val="003341CA"/>
    <w:rsid w:val="00334E78"/>
    <w:rsid w:val="0033546D"/>
    <w:rsid w:val="00336882"/>
    <w:rsid w:val="00337465"/>
    <w:rsid w:val="003403AA"/>
    <w:rsid w:val="0034062A"/>
    <w:rsid w:val="003469DD"/>
    <w:rsid w:val="003473D1"/>
    <w:rsid w:val="00347B67"/>
    <w:rsid w:val="00351983"/>
    <w:rsid w:val="00351AE0"/>
    <w:rsid w:val="0035277D"/>
    <w:rsid w:val="00352AD4"/>
    <w:rsid w:val="003570DC"/>
    <w:rsid w:val="003574D6"/>
    <w:rsid w:val="00357905"/>
    <w:rsid w:val="00364916"/>
    <w:rsid w:val="00370D4F"/>
    <w:rsid w:val="00371790"/>
    <w:rsid w:val="00372B34"/>
    <w:rsid w:val="0037363A"/>
    <w:rsid w:val="00373667"/>
    <w:rsid w:val="00373D2D"/>
    <w:rsid w:val="00376222"/>
    <w:rsid w:val="003801D9"/>
    <w:rsid w:val="0038165B"/>
    <w:rsid w:val="00383152"/>
    <w:rsid w:val="00385E44"/>
    <w:rsid w:val="00385EB3"/>
    <w:rsid w:val="003865E1"/>
    <w:rsid w:val="00390C22"/>
    <w:rsid w:val="003960D4"/>
    <w:rsid w:val="003A01C6"/>
    <w:rsid w:val="003A0945"/>
    <w:rsid w:val="003A18CD"/>
    <w:rsid w:val="003A3E85"/>
    <w:rsid w:val="003A6DFB"/>
    <w:rsid w:val="003A7229"/>
    <w:rsid w:val="003A773C"/>
    <w:rsid w:val="003B28C5"/>
    <w:rsid w:val="003B30EB"/>
    <w:rsid w:val="003C0C4C"/>
    <w:rsid w:val="003C31BF"/>
    <w:rsid w:val="003C3E5D"/>
    <w:rsid w:val="003C4AA6"/>
    <w:rsid w:val="003C6C2F"/>
    <w:rsid w:val="003D72D4"/>
    <w:rsid w:val="003D735A"/>
    <w:rsid w:val="003E3DFD"/>
    <w:rsid w:val="003E3E98"/>
    <w:rsid w:val="003F1A65"/>
    <w:rsid w:val="003F1A7C"/>
    <w:rsid w:val="003F33FE"/>
    <w:rsid w:val="003F406B"/>
    <w:rsid w:val="003F456A"/>
    <w:rsid w:val="003F6062"/>
    <w:rsid w:val="003F65C3"/>
    <w:rsid w:val="003F7169"/>
    <w:rsid w:val="003F7BFA"/>
    <w:rsid w:val="00400DD8"/>
    <w:rsid w:val="00406100"/>
    <w:rsid w:val="00407049"/>
    <w:rsid w:val="00407A81"/>
    <w:rsid w:val="00411F55"/>
    <w:rsid w:val="00414B42"/>
    <w:rsid w:val="004164C6"/>
    <w:rsid w:val="004172C1"/>
    <w:rsid w:val="00417594"/>
    <w:rsid w:val="00422992"/>
    <w:rsid w:val="00422CC5"/>
    <w:rsid w:val="004307F7"/>
    <w:rsid w:val="00432750"/>
    <w:rsid w:val="0043307E"/>
    <w:rsid w:val="0043352A"/>
    <w:rsid w:val="004347D0"/>
    <w:rsid w:val="004400CB"/>
    <w:rsid w:val="00443DA7"/>
    <w:rsid w:val="00443F9C"/>
    <w:rsid w:val="004453F2"/>
    <w:rsid w:val="00447CF5"/>
    <w:rsid w:val="00450CA6"/>
    <w:rsid w:val="00454D81"/>
    <w:rsid w:val="00456066"/>
    <w:rsid w:val="00456F9E"/>
    <w:rsid w:val="00457DFA"/>
    <w:rsid w:val="00460710"/>
    <w:rsid w:val="0046240E"/>
    <w:rsid w:val="00464BA5"/>
    <w:rsid w:val="004658E1"/>
    <w:rsid w:val="00466122"/>
    <w:rsid w:val="00466686"/>
    <w:rsid w:val="00466D9E"/>
    <w:rsid w:val="00471716"/>
    <w:rsid w:val="0047301E"/>
    <w:rsid w:val="00473356"/>
    <w:rsid w:val="00473806"/>
    <w:rsid w:val="004739A7"/>
    <w:rsid w:val="004824CE"/>
    <w:rsid w:val="00483318"/>
    <w:rsid w:val="0048422F"/>
    <w:rsid w:val="0048611B"/>
    <w:rsid w:val="004874DA"/>
    <w:rsid w:val="00487519"/>
    <w:rsid w:val="004879A2"/>
    <w:rsid w:val="00487B35"/>
    <w:rsid w:val="004905CC"/>
    <w:rsid w:val="00490A63"/>
    <w:rsid w:val="00491299"/>
    <w:rsid w:val="00492D1B"/>
    <w:rsid w:val="00494E94"/>
    <w:rsid w:val="00496D67"/>
    <w:rsid w:val="004A0DD2"/>
    <w:rsid w:val="004A0FF5"/>
    <w:rsid w:val="004A11E5"/>
    <w:rsid w:val="004A3ADE"/>
    <w:rsid w:val="004A4021"/>
    <w:rsid w:val="004A53B6"/>
    <w:rsid w:val="004A5D2B"/>
    <w:rsid w:val="004A6F76"/>
    <w:rsid w:val="004A7175"/>
    <w:rsid w:val="004A71EF"/>
    <w:rsid w:val="004A7C8F"/>
    <w:rsid w:val="004A7F0F"/>
    <w:rsid w:val="004B2172"/>
    <w:rsid w:val="004B3313"/>
    <w:rsid w:val="004B466B"/>
    <w:rsid w:val="004B7167"/>
    <w:rsid w:val="004C171F"/>
    <w:rsid w:val="004C375F"/>
    <w:rsid w:val="004C420F"/>
    <w:rsid w:val="004C4FCA"/>
    <w:rsid w:val="004C61F6"/>
    <w:rsid w:val="004C72DB"/>
    <w:rsid w:val="004C7F4D"/>
    <w:rsid w:val="004D3357"/>
    <w:rsid w:val="004D338C"/>
    <w:rsid w:val="004D5F81"/>
    <w:rsid w:val="004D736F"/>
    <w:rsid w:val="004D7580"/>
    <w:rsid w:val="004E076B"/>
    <w:rsid w:val="004E157E"/>
    <w:rsid w:val="004E24A4"/>
    <w:rsid w:val="004E4F71"/>
    <w:rsid w:val="004F133C"/>
    <w:rsid w:val="004F3938"/>
    <w:rsid w:val="004F47ED"/>
    <w:rsid w:val="004F4AFC"/>
    <w:rsid w:val="004F4E4C"/>
    <w:rsid w:val="004F5DF3"/>
    <w:rsid w:val="004F75E1"/>
    <w:rsid w:val="004F7703"/>
    <w:rsid w:val="004F7FB2"/>
    <w:rsid w:val="00500537"/>
    <w:rsid w:val="00505833"/>
    <w:rsid w:val="00506DC0"/>
    <w:rsid w:val="00507D39"/>
    <w:rsid w:val="005103A1"/>
    <w:rsid w:val="00512DB8"/>
    <w:rsid w:val="005132EC"/>
    <w:rsid w:val="005141CA"/>
    <w:rsid w:val="00515418"/>
    <w:rsid w:val="00516FC5"/>
    <w:rsid w:val="005230B6"/>
    <w:rsid w:val="00523612"/>
    <w:rsid w:val="00523875"/>
    <w:rsid w:val="0052467E"/>
    <w:rsid w:val="00526FB7"/>
    <w:rsid w:val="005301CA"/>
    <w:rsid w:val="00530ADD"/>
    <w:rsid w:val="00530B9B"/>
    <w:rsid w:val="00531A09"/>
    <w:rsid w:val="0053568D"/>
    <w:rsid w:val="005358FF"/>
    <w:rsid w:val="00536F16"/>
    <w:rsid w:val="00537548"/>
    <w:rsid w:val="005378A5"/>
    <w:rsid w:val="005404D8"/>
    <w:rsid w:val="00541134"/>
    <w:rsid w:val="00541ACC"/>
    <w:rsid w:val="005425B4"/>
    <w:rsid w:val="00544F04"/>
    <w:rsid w:val="00546513"/>
    <w:rsid w:val="0055099F"/>
    <w:rsid w:val="00553104"/>
    <w:rsid w:val="00554C5C"/>
    <w:rsid w:val="00560046"/>
    <w:rsid w:val="00560A1F"/>
    <w:rsid w:val="00561C41"/>
    <w:rsid w:val="005647BD"/>
    <w:rsid w:val="0056481D"/>
    <w:rsid w:val="00565E71"/>
    <w:rsid w:val="00566802"/>
    <w:rsid w:val="00566CA4"/>
    <w:rsid w:val="00571E99"/>
    <w:rsid w:val="00572471"/>
    <w:rsid w:val="00574277"/>
    <w:rsid w:val="00574D63"/>
    <w:rsid w:val="005751D5"/>
    <w:rsid w:val="005759D9"/>
    <w:rsid w:val="0057646F"/>
    <w:rsid w:val="00580E42"/>
    <w:rsid w:val="005817BE"/>
    <w:rsid w:val="0058238A"/>
    <w:rsid w:val="0058243E"/>
    <w:rsid w:val="0058795B"/>
    <w:rsid w:val="0059131F"/>
    <w:rsid w:val="005922F5"/>
    <w:rsid w:val="00592DF4"/>
    <w:rsid w:val="005A02AA"/>
    <w:rsid w:val="005A306A"/>
    <w:rsid w:val="005A3B9A"/>
    <w:rsid w:val="005A7A40"/>
    <w:rsid w:val="005B21E3"/>
    <w:rsid w:val="005B5A20"/>
    <w:rsid w:val="005C0141"/>
    <w:rsid w:val="005C2A07"/>
    <w:rsid w:val="005C4A1D"/>
    <w:rsid w:val="005C72C1"/>
    <w:rsid w:val="005C74A8"/>
    <w:rsid w:val="005D014B"/>
    <w:rsid w:val="005D3879"/>
    <w:rsid w:val="005D4537"/>
    <w:rsid w:val="005D6094"/>
    <w:rsid w:val="005E12CB"/>
    <w:rsid w:val="005E12F7"/>
    <w:rsid w:val="005E1776"/>
    <w:rsid w:val="005F1355"/>
    <w:rsid w:val="005F147C"/>
    <w:rsid w:val="005F21F7"/>
    <w:rsid w:val="005F282E"/>
    <w:rsid w:val="005F5401"/>
    <w:rsid w:val="005F6818"/>
    <w:rsid w:val="006003DD"/>
    <w:rsid w:val="006008A3"/>
    <w:rsid w:val="006008FA"/>
    <w:rsid w:val="00600D90"/>
    <w:rsid w:val="00600DA0"/>
    <w:rsid w:val="0060196C"/>
    <w:rsid w:val="00601B57"/>
    <w:rsid w:val="006057D2"/>
    <w:rsid w:val="00605A35"/>
    <w:rsid w:val="00607553"/>
    <w:rsid w:val="0060780D"/>
    <w:rsid w:val="0061490E"/>
    <w:rsid w:val="0061734B"/>
    <w:rsid w:val="00617CC4"/>
    <w:rsid w:val="00624EC9"/>
    <w:rsid w:val="006308C2"/>
    <w:rsid w:val="00631B23"/>
    <w:rsid w:val="006324D3"/>
    <w:rsid w:val="00634608"/>
    <w:rsid w:val="00635536"/>
    <w:rsid w:val="00635D1C"/>
    <w:rsid w:val="00636517"/>
    <w:rsid w:val="00636744"/>
    <w:rsid w:val="00640765"/>
    <w:rsid w:val="006419F2"/>
    <w:rsid w:val="00642166"/>
    <w:rsid w:val="0064241C"/>
    <w:rsid w:val="00646AD3"/>
    <w:rsid w:val="006470F2"/>
    <w:rsid w:val="0065034C"/>
    <w:rsid w:val="00650DD4"/>
    <w:rsid w:val="00652293"/>
    <w:rsid w:val="00654C61"/>
    <w:rsid w:val="00654F62"/>
    <w:rsid w:val="006558CD"/>
    <w:rsid w:val="00655DB7"/>
    <w:rsid w:val="00656DDC"/>
    <w:rsid w:val="00657323"/>
    <w:rsid w:val="006645E0"/>
    <w:rsid w:val="00667FC5"/>
    <w:rsid w:val="0067031C"/>
    <w:rsid w:val="00670425"/>
    <w:rsid w:val="006710FA"/>
    <w:rsid w:val="00672469"/>
    <w:rsid w:val="006737EE"/>
    <w:rsid w:val="00674080"/>
    <w:rsid w:val="00675D62"/>
    <w:rsid w:val="00676AE1"/>
    <w:rsid w:val="00680D0D"/>
    <w:rsid w:val="0068115D"/>
    <w:rsid w:val="00681268"/>
    <w:rsid w:val="006833EE"/>
    <w:rsid w:val="00684D39"/>
    <w:rsid w:val="0068765F"/>
    <w:rsid w:val="00690ED1"/>
    <w:rsid w:val="00692258"/>
    <w:rsid w:val="00692A01"/>
    <w:rsid w:val="006959EA"/>
    <w:rsid w:val="006A500D"/>
    <w:rsid w:val="006B12C8"/>
    <w:rsid w:val="006B3F90"/>
    <w:rsid w:val="006B58A5"/>
    <w:rsid w:val="006B5EF1"/>
    <w:rsid w:val="006B739E"/>
    <w:rsid w:val="006B77E7"/>
    <w:rsid w:val="006C0687"/>
    <w:rsid w:val="006C21C6"/>
    <w:rsid w:val="006C3935"/>
    <w:rsid w:val="006C4104"/>
    <w:rsid w:val="006C50B2"/>
    <w:rsid w:val="006C52D1"/>
    <w:rsid w:val="006D171C"/>
    <w:rsid w:val="006D34B4"/>
    <w:rsid w:val="006D48D3"/>
    <w:rsid w:val="006D5EC0"/>
    <w:rsid w:val="006D620F"/>
    <w:rsid w:val="006D6357"/>
    <w:rsid w:val="006D6443"/>
    <w:rsid w:val="006D7328"/>
    <w:rsid w:val="006E0273"/>
    <w:rsid w:val="006E3E8D"/>
    <w:rsid w:val="006E4B3F"/>
    <w:rsid w:val="006F0473"/>
    <w:rsid w:val="006F0B8B"/>
    <w:rsid w:val="006F446F"/>
    <w:rsid w:val="006F4637"/>
    <w:rsid w:val="006F4FCC"/>
    <w:rsid w:val="006F765F"/>
    <w:rsid w:val="007017D2"/>
    <w:rsid w:val="00702812"/>
    <w:rsid w:val="00702F61"/>
    <w:rsid w:val="0070513C"/>
    <w:rsid w:val="00706E2C"/>
    <w:rsid w:val="00706F3E"/>
    <w:rsid w:val="00707747"/>
    <w:rsid w:val="00712FDA"/>
    <w:rsid w:val="007135DE"/>
    <w:rsid w:val="007138A6"/>
    <w:rsid w:val="00714A91"/>
    <w:rsid w:val="00714EB9"/>
    <w:rsid w:val="00717843"/>
    <w:rsid w:val="007226A5"/>
    <w:rsid w:val="00725299"/>
    <w:rsid w:val="00726025"/>
    <w:rsid w:val="007271CC"/>
    <w:rsid w:val="00732024"/>
    <w:rsid w:val="00733275"/>
    <w:rsid w:val="007333A1"/>
    <w:rsid w:val="00734B14"/>
    <w:rsid w:val="00734CB4"/>
    <w:rsid w:val="00735EEE"/>
    <w:rsid w:val="00737196"/>
    <w:rsid w:val="0074198C"/>
    <w:rsid w:val="00742AE9"/>
    <w:rsid w:val="00744171"/>
    <w:rsid w:val="007453C4"/>
    <w:rsid w:val="00752AD5"/>
    <w:rsid w:val="00755B9A"/>
    <w:rsid w:val="0075612C"/>
    <w:rsid w:val="0075697E"/>
    <w:rsid w:val="00756BA8"/>
    <w:rsid w:val="007579C7"/>
    <w:rsid w:val="0076529F"/>
    <w:rsid w:val="00767336"/>
    <w:rsid w:val="00770B75"/>
    <w:rsid w:val="007726C5"/>
    <w:rsid w:val="00777151"/>
    <w:rsid w:val="00780D26"/>
    <w:rsid w:val="00780D93"/>
    <w:rsid w:val="00780DF1"/>
    <w:rsid w:val="0078265D"/>
    <w:rsid w:val="007829C6"/>
    <w:rsid w:val="007840A2"/>
    <w:rsid w:val="00784E6E"/>
    <w:rsid w:val="007868FF"/>
    <w:rsid w:val="00787169"/>
    <w:rsid w:val="0078785B"/>
    <w:rsid w:val="007904C5"/>
    <w:rsid w:val="00790792"/>
    <w:rsid w:val="00791FF2"/>
    <w:rsid w:val="00793056"/>
    <w:rsid w:val="007945A8"/>
    <w:rsid w:val="007A1B28"/>
    <w:rsid w:val="007A31D7"/>
    <w:rsid w:val="007A5F8A"/>
    <w:rsid w:val="007A72F2"/>
    <w:rsid w:val="007A7B6F"/>
    <w:rsid w:val="007B186D"/>
    <w:rsid w:val="007B67D4"/>
    <w:rsid w:val="007C1BA9"/>
    <w:rsid w:val="007C39CC"/>
    <w:rsid w:val="007C4405"/>
    <w:rsid w:val="007C52F5"/>
    <w:rsid w:val="007C57CD"/>
    <w:rsid w:val="007D0EEF"/>
    <w:rsid w:val="007D44F2"/>
    <w:rsid w:val="007D4CC8"/>
    <w:rsid w:val="007D75E1"/>
    <w:rsid w:val="007E0526"/>
    <w:rsid w:val="007E13C1"/>
    <w:rsid w:val="007E7639"/>
    <w:rsid w:val="007F765B"/>
    <w:rsid w:val="00800430"/>
    <w:rsid w:val="00801E0F"/>
    <w:rsid w:val="00802FE9"/>
    <w:rsid w:val="0080491F"/>
    <w:rsid w:val="008055D6"/>
    <w:rsid w:val="008063EF"/>
    <w:rsid w:val="008068EA"/>
    <w:rsid w:val="008147EB"/>
    <w:rsid w:val="00815D86"/>
    <w:rsid w:val="00820397"/>
    <w:rsid w:val="008204B2"/>
    <w:rsid w:val="008206EB"/>
    <w:rsid w:val="00824E10"/>
    <w:rsid w:val="00824EDC"/>
    <w:rsid w:val="008254AD"/>
    <w:rsid w:val="00826201"/>
    <w:rsid w:val="00827A46"/>
    <w:rsid w:val="00827BA3"/>
    <w:rsid w:val="00830091"/>
    <w:rsid w:val="00833209"/>
    <w:rsid w:val="00833B52"/>
    <w:rsid w:val="00834F20"/>
    <w:rsid w:val="00834FD8"/>
    <w:rsid w:val="008367DE"/>
    <w:rsid w:val="00836C59"/>
    <w:rsid w:val="00836ED1"/>
    <w:rsid w:val="00840D7F"/>
    <w:rsid w:val="00841DE3"/>
    <w:rsid w:val="00852343"/>
    <w:rsid w:val="008532B0"/>
    <w:rsid w:val="00854548"/>
    <w:rsid w:val="00855310"/>
    <w:rsid w:val="00855378"/>
    <w:rsid w:val="00856A2C"/>
    <w:rsid w:val="008604AF"/>
    <w:rsid w:val="00862D3C"/>
    <w:rsid w:val="008661A7"/>
    <w:rsid w:val="00871AC7"/>
    <w:rsid w:val="0087398A"/>
    <w:rsid w:val="00876E3D"/>
    <w:rsid w:val="0087704C"/>
    <w:rsid w:val="0087773A"/>
    <w:rsid w:val="00881ADB"/>
    <w:rsid w:val="008823BF"/>
    <w:rsid w:val="00883587"/>
    <w:rsid w:val="008849B3"/>
    <w:rsid w:val="008854D0"/>
    <w:rsid w:val="00886931"/>
    <w:rsid w:val="00887CAB"/>
    <w:rsid w:val="0089049E"/>
    <w:rsid w:val="008943EC"/>
    <w:rsid w:val="00894BC8"/>
    <w:rsid w:val="008974FA"/>
    <w:rsid w:val="008A0FE7"/>
    <w:rsid w:val="008A2C0F"/>
    <w:rsid w:val="008A3315"/>
    <w:rsid w:val="008A3A2D"/>
    <w:rsid w:val="008A414D"/>
    <w:rsid w:val="008A5098"/>
    <w:rsid w:val="008A51C2"/>
    <w:rsid w:val="008A582B"/>
    <w:rsid w:val="008A6B73"/>
    <w:rsid w:val="008A77A4"/>
    <w:rsid w:val="008B4761"/>
    <w:rsid w:val="008B633E"/>
    <w:rsid w:val="008B6F5C"/>
    <w:rsid w:val="008C0E89"/>
    <w:rsid w:val="008C45A5"/>
    <w:rsid w:val="008D0E26"/>
    <w:rsid w:val="008D1656"/>
    <w:rsid w:val="008D3964"/>
    <w:rsid w:val="008D5324"/>
    <w:rsid w:val="008D63E6"/>
    <w:rsid w:val="008D7218"/>
    <w:rsid w:val="008E3EE0"/>
    <w:rsid w:val="008E4C80"/>
    <w:rsid w:val="008E5BE8"/>
    <w:rsid w:val="008E646C"/>
    <w:rsid w:val="008E682B"/>
    <w:rsid w:val="008F2C29"/>
    <w:rsid w:val="008F2E62"/>
    <w:rsid w:val="008F7423"/>
    <w:rsid w:val="008F78C3"/>
    <w:rsid w:val="00900C3E"/>
    <w:rsid w:val="00904BDC"/>
    <w:rsid w:val="009052BB"/>
    <w:rsid w:val="00905805"/>
    <w:rsid w:val="00905EBE"/>
    <w:rsid w:val="00906DB6"/>
    <w:rsid w:val="009120D0"/>
    <w:rsid w:val="00912834"/>
    <w:rsid w:val="00913601"/>
    <w:rsid w:val="00914CF9"/>
    <w:rsid w:val="00920E64"/>
    <w:rsid w:val="009267EA"/>
    <w:rsid w:val="00927356"/>
    <w:rsid w:val="0093235C"/>
    <w:rsid w:val="009360EF"/>
    <w:rsid w:val="00941AC9"/>
    <w:rsid w:val="00945B67"/>
    <w:rsid w:val="00946C74"/>
    <w:rsid w:val="00955A54"/>
    <w:rsid w:val="0097025F"/>
    <w:rsid w:val="009702D9"/>
    <w:rsid w:val="00970C32"/>
    <w:rsid w:val="00970EB0"/>
    <w:rsid w:val="009764E6"/>
    <w:rsid w:val="00976D75"/>
    <w:rsid w:val="00981455"/>
    <w:rsid w:val="00981601"/>
    <w:rsid w:val="00981801"/>
    <w:rsid w:val="00982FB4"/>
    <w:rsid w:val="009843FE"/>
    <w:rsid w:val="009844CD"/>
    <w:rsid w:val="0098567B"/>
    <w:rsid w:val="00992A27"/>
    <w:rsid w:val="00992C85"/>
    <w:rsid w:val="00996234"/>
    <w:rsid w:val="009A1168"/>
    <w:rsid w:val="009A1DA2"/>
    <w:rsid w:val="009A267F"/>
    <w:rsid w:val="009A28C3"/>
    <w:rsid w:val="009A33C6"/>
    <w:rsid w:val="009A5856"/>
    <w:rsid w:val="009A660E"/>
    <w:rsid w:val="009B00C0"/>
    <w:rsid w:val="009B0C64"/>
    <w:rsid w:val="009B1C33"/>
    <w:rsid w:val="009B2AD3"/>
    <w:rsid w:val="009B3CFE"/>
    <w:rsid w:val="009B7722"/>
    <w:rsid w:val="009B7A95"/>
    <w:rsid w:val="009C0667"/>
    <w:rsid w:val="009C1B88"/>
    <w:rsid w:val="009C2D6D"/>
    <w:rsid w:val="009C5749"/>
    <w:rsid w:val="009C6CF1"/>
    <w:rsid w:val="009C7676"/>
    <w:rsid w:val="009C7FAD"/>
    <w:rsid w:val="009D0E1D"/>
    <w:rsid w:val="009D15E0"/>
    <w:rsid w:val="009D40EB"/>
    <w:rsid w:val="009D4574"/>
    <w:rsid w:val="009D5AF1"/>
    <w:rsid w:val="009D6BB5"/>
    <w:rsid w:val="009E1FF4"/>
    <w:rsid w:val="009E6FFA"/>
    <w:rsid w:val="00A012A1"/>
    <w:rsid w:val="00A019E3"/>
    <w:rsid w:val="00A01B0E"/>
    <w:rsid w:val="00A0210C"/>
    <w:rsid w:val="00A02636"/>
    <w:rsid w:val="00A03944"/>
    <w:rsid w:val="00A04BD1"/>
    <w:rsid w:val="00A11C51"/>
    <w:rsid w:val="00A1221B"/>
    <w:rsid w:val="00A12C30"/>
    <w:rsid w:val="00A13BBD"/>
    <w:rsid w:val="00A13C78"/>
    <w:rsid w:val="00A15501"/>
    <w:rsid w:val="00A15D84"/>
    <w:rsid w:val="00A16BEE"/>
    <w:rsid w:val="00A16E3C"/>
    <w:rsid w:val="00A16F79"/>
    <w:rsid w:val="00A178AC"/>
    <w:rsid w:val="00A17EFC"/>
    <w:rsid w:val="00A2002F"/>
    <w:rsid w:val="00A20442"/>
    <w:rsid w:val="00A215FD"/>
    <w:rsid w:val="00A24E39"/>
    <w:rsid w:val="00A25BDA"/>
    <w:rsid w:val="00A2652F"/>
    <w:rsid w:val="00A26A63"/>
    <w:rsid w:val="00A2719A"/>
    <w:rsid w:val="00A313CF"/>
    <w:rsid w:val="00A32192"/>
    <w:rsid w:val="00A32C5C"/>
    <w:rsid w:val="00A336BC"/>
    <w:rsid w:val="00A33E24"/>
    <w:rsid w:val="00A35AA3"/>
    <w:rsid w:val="00A37A86"/>
    <w:rsid w:val="00A404A7"/>
    <w:rsid w:val="00A41416"/>
    <w:rsid w:val="00A41474"/>
    <w:rsid w:val="00A4161E"/>
    <w:rsid w:val="00A42D4E"/>
    <w:rsid w:val="00A43A91"/>
    <w:rsid w:val="00A5042C"/>
    <w:rsid w:val="00A526AD"/>
    <w:rsid w:val="00A530C7"/>
    <w:rsid w:val="00A54836"/>
    <w:rsid w:val="00A56038"/>
    <w:rsid w:val="00A578A0"/>
    <w:rsid w:val="00A67316"/>
    <w:rsid w:val="00A675FA"/>
    <w:rsid w:val="00A728D3"/>
    <w:rsid w:val="00A736C0"/>
    <w:rsid w:val="00A801F2"/>
    <w:rsid w:val="00A82462"/>
    <w:rsid w:val="00A827F9"/>
    <w:rsid w:val="00A84384"/>
    <w:rsid w:val="00A87280"/>
    <w:rsid w:val="00A91110"/>
    <w:rsid w:val="00A9148B"/>
    <w:rsid w:val="00A91658"/>
    <w:rsid w:val="00A93A70"/>
    <w:rsid w:val="00A952B2"/>
    <w:rsid w:val="00A96904"/>
    <w:rsid w:val="00A971B7"/>
    <w:rsid w:val="00AA1216"/>
    <w:rsid w:val="00AA5104"/>
    <w:rsid w:val="00AA59E3"/>
    <w:rsid w:val="00AA70C6"/>
    <w:rsid w:val="00AB1555"/>
    <w:rsid w:val="00AB2020"/>
    <w:rsid w:val="00AB317D"/>
    <w:rsid w:val="00AB3EF6"/>
    <w:rsid w:val="00AB74B5"/>
    <w:rsid w:val="00AB75BC"/>
    <w:rsid w:val="00AB75CD"/>
    <w:rsid w:val="00AC0808"/>
    <w:rsid w:val="00AC1002"/>
    <w:rsid w:val="00AC3133"/>
    <w:rsid w:val="00AC57C4"/>
    <w:rsid w:val="00AC66A9"/>
    <w:rsid w:val="00AD1040"/>
    <w:rsid w:val="00AD1641"/>
    <w:rsid w:val="00AD6193"/>
    <w:rsid w:val="00AD7E78"/>
    <w:rsid w:val="00AE2410"/>
    <w:rsid w:val="00AE565F"/>
    <w:rsid w:val="00AE57E9"/>
    <w:rsid w:val="00AE5852"/>
    <w:rsid w:val="00AE7532"/>
    <w:rsid w:val="00AF27EF"/>
    <w:rsid w:val="00AF3B8B"/>
    <w:rsid w:val="00AF4DFE"/>
    <w:rsid w:val="00AF7BE2"/>
    <w:rsid w:val="00B0509F"/>
    <w:rsid w:val="00B06C6A"/>
    <w:rsid w:val="00B102E1"/>
    <w:rsid w:val="00B1354B"/>
    <w:rsid w:val="00B152B2"/>
    <w:rsid w:val="00B15D12"/>
    <w:rsid w:val="00B2061A"/>
    <w:rsid w:val="00B21D4A"/>
    <w:rsid w:val="00B22239"/>
    <w:rsid w:val="00B22315"/>
    <w:rsid w:val="00B24B1D"/>
    <w:rsid w:val="00B25113"/>
    <w:rsid w:val="00B2579A"/>
    <w:rsid w:val="00B25EB1"/>
    <w:rsid w:val="00B27A57"/>
    <w:rsid w:val="00B30424"/>
    <w:rsid w:val="00B32C7F"/>
    <w:rsid w:val="00B33CC8"/>
    <w:rsid w:val="00B4159D"/>
    <w:rsid w:val="00B439FF"/>
    <w:rsid w:val="00B453DF"/>
    <w:rsid w:val="00B45F0F"/>
    <w:rsid w:val="00B53294"/>
    <w:rsid w:val="00B56FF5"/>
    <w:rsid w:val="00B61108"/>
    <w:rsid w:val="00B615E9"/>
    <w:rsid w:val="00B6310A"/>
    <w:rsid w:val="00B63157"/>
    <w:rsid w:val="00B631A2"/>
    <w:rsid w:val="00B64154"/>
    <w:rsid w:val="00B67C98"/>
    <w:rsid w:val="00B67F80"/>
    <w:rsid w:val="00B70CD2"/>
    <w:rsid w:val="00B72B60"/>
    <w:rsid w:val="00B774F7"/>
    <w:rsid w:val="00B8046D"/>
    <w:rsid w:val="00B82B0B"/>
    <w:rsid w:val="00B83BA7"/>
    <w:rsid w:val="00B85F24"/>
    <w:rsid w:val="00B87D3D"/>
    <w:rsid w:val="00B9046D"/>
    <w:rsid w:val="00B921F2"/>
    <w:rsid w:val="00B93BB0"/>
    <w:rsid w:val="00B947B5"/>
    <w:rsid w:val="00B9675A"/>
    <w:rsid w:val="00B97EC1"/>
    <w:rsid w:val="00BA1CCD"/>
    <w:rsid w:val="00BA1FCE"/>
    <w:rsid w:val="00BA55FF"/>
    <w:rsid w:val="00BA7759"/>
    <w:rsid w:val="00BB0F2C"/>
    <w:rsid w:val="00BB4182"/>
    <w:rsid w:val="00BB7733"/>
    <w:rsid w:val="00BC210C"/>
    <w:rsid w:val="00BC254C"/>
    <w:rsid w:val="00BC3360"/>
    <w:rsid w:val="00BC37AA"/>
    <w:rsid w:val="00BC3A89"/>
    <w:rsid w:val="00BC3F35"/>
    <w:rsid w:val="00BC46BE"/>
    <w:rsid w:val="00BC53CE"/>
    <w:rsid w:val="00BC6662"/>
    <w:rsid w:val="00BC73A4"/>
    <w:rsid w:val="00BD1D38"/>
    <w:rsid w:val="00BD3EC6"/>
    <w:rsid w:val="00BD5A10"/>
    <w:rsid w:val="00BD6A73"/>
    <w:rsid w:val="00BE3223"/>
    <w:rsid w:val="00BE3A2D"/>
    <w:rsid w:val="00BE574A"/>
    <w:rsid w:val="00BE67B3"/>
    <w:rsid w:val="00BE6AD5"/>
    <w:rsid w:val="00BE6F32"/>
    <w:rsid w:val="00BE7F6F"/>
    <w:rsid w:val="00BF0ABD"/>
    <w:rsid w:val="00BF1246"/>
    <w:rsid w:val="00BF14B2"/>
    <w:rsid w:val="00BF3DA5"/>
    <w:rsid w:val="00C0052E"/>
    <w:rsid w:val="00C01530"/>
    <w:rsid w:val="00C0213B"/>
    <w:rsid w:val="00C0279A"/>
    <w:rsid w:val="00C02E69"/>
    <w:rsid w:val="00C03C83"/>
    <w:rsid w:val="00C04AB0"/>
    <w:rsid w:val="00C108CC"/>
    <w:rsid w:val="00C13CAB"/>
    <w:rsid w:val="00C153A0"/>
    <w:rsid w:val="00C17390"/>
    <w:rsid w:val="00C20DBC"/>
    <w:rsid w:val="00C2194D"/>
    <w:rsid w:val="00C22A42"/>
    <w:rsid w:val="00C24721"/>
    <w:rsid w:val="00C24BB0"/>
    <w:rsid w:val="00C2558B"/>
    <w:rsid w:val="00C266EA"/>
    <w:rsid w:val="00C31711"/>
    <w:rsid w:val="00C33BF8"/>
    <w:rsid w:val="00C37C92"/>
    <w:rsid w:val="00C40A3E"/>
    <w:rsid w:val="00C41A28"/>
    <w:rsid w:val="00C422CB"/>
    <w:rsid w:val="00C43C84"/>
    <w:rsid w:val="00C45979"/>
    <w:rsid w:val="00C459A0"/>
    <w:rsid w:val="00C5081A"/>
    <w:rsid w:val="00C560D3"/>
    <w:rsid w:val="00C60017"/>
    <w:rsid w:val="00C62B14"/>
    <w:rsid w:val="00C63057"/>
    <w:rsid w:val="00C63469"/>
    <w:rsid w:val="00C6615B"/>
    <w:rsid w:val="00C71474"/>
    <w:rsid w:val="00C71E5F"/>
    <w:rsid w:val="00C71FAA"/>
    <w:rsid w:val="00C74430"/>
    <w:rsid w:val="00C748B3"/>
    <w:rsid w:val="00C75164"/>
    <w:rsid w:val="00C77D64"/>
    <w:rsid w:val="00C801DC"/>
    <w:rsid w:val="00C80303"/>
    <w:rsid w:val="00C82871"/>
    <w:rsid w:val="00C82A81"/>
    <w:rsid w:val="00C8324A"/>
    <w:rsid w:val="00C83AC1"/>
    <w:rsid w:val="00C83D0D"/>
    <w:rsid w:val="00C8472A"/>
    <w:rsid w:val="00C94567"/>
    <w:rsid w:val="00C94E39"/>
    <w:rsid w:val="00C95381"/>
    <w:rsid w:val="00CA076A"/>
    <w:rsid w:val="00CA2DBD"/>
    <w:rsid w:val="00CA37D3"/>
    <w:rsid w:val="00CA3E9E"/>
    <w:rsid w:val="00CA3F9E"/>
    <w:rsid w:val="00CA4B94"/>
    <w:rsid w:val="00CA6432"/>
    <w:rsid w:val="00CA7B66"/>
    <w:rsid w:val="00CB0B3F"/>
    <w:rsid w:val="00CB508C"/>
    <w:rsid w:val="00CB6057"/>
    <w:rsid w:val="00CB6E24"/>
    <w:rsid w:val="00CB6E25"/>
    <w:rsid w:val="00CB763D"/>
    <w:rsid w:val="00CC157C"/>
    <w:rsid w:val="00CC4FE7"/>
    <w:rsid w:val="00CD1169"/>
    <w:rsid w:val="00CD1A02"/>
    <w:rsid w:val="00CD371C"/>
    <w:rsid w:val="00CD4E49"/>
    <w:rsid w:val="00CD7E1C"/>
    <w:rsid w:val="00CD7F81"/>
    <w:rsid w:val="00CE001B"/>
    <w:rsid w:val="00CE026E"/>
    <w:rsid w:val="00CE0F6A"/>
    <w:rsid w:val="00CE124B"/>
    <w:rsid w:val="00CE2AFA"/>
    <w:rsid w:val="00CE2C34"/>
    <w:rsid w:val="00CE306F"/>
    <w:rsid w:val="00CE582A"/>
    <w:rsid w:val="00CF2D2B"/>
    <w:rsid w:val="00CF3A73"/>
    <w:rsid w:val="00CF3D6D"/>
    <w:rsid w:val="00CF463C"/>
    <w:rsid w:val="00CF4E03"/>
    <w:rsid w:val="00CF7C19"/>
    <w:rsid w:val="00D01C84"/>
    <w:rsid w:val="00D01E91"/>
    <w:rsid w:val="00D02E38"/>
    <w:rsid w:val="00D03A66"/>
    <w:rsid w:val="00D04FAE"/>
    <w:rsid w:val="00D078E3"/>
    <w:rsid w:val="00D119CC"/>
    <w:rsid w:val="00D1442E"/>
    <w:rsid w:val="00D14900"/>
    <w:rsid w:val="00D14D17"/>
    <w:rsid w:val="00D15A03"/>
    <w:rsid w:val="00D2128E"/>
    <w:rsid w:val="00D22A15"/>
    <w:rsid w:val="00D25AFC"/>
    <w:rsid w:val="00D25DFD"/>
    <w:rsid w:val="00D27E02"/>
    <w:rsid w:val="00D331D1"/>
    <w:rsid w:val="00D336DF"/>
    <w:rsid w:val="00D341CD"/>
    <w:rsid w:val="00D3462B"/>
    <w:rsid w:val="00D36336"/>
    <w:rsid w:val="00D36906"/>
    <w:rsid w:val="00D37B5C"/>
    <w:rsid w:val="00D40655"/>
    <w:rsid w:val="00D40D8F"/>
    <w:rsid w:val="00D41353"/>
    <w:rsid w:val="00D42BF7"/>
    <w:rsid w:val="00D42D73"/>
    <w:rsid w:val="00D4411A"/>
    <w:rsid w:val="00D453B0"/>
    <w:rsid w:val="00D453ED"/>
    <w:rsid w:val="00D46927"/>
    <w:rsid w:val="00D510E8"/>
    <w:rsid w:val="00D5134A"/>
    <w:rsid w:val="00D53CB2"/>
    <w:rsid w:val="00D545D4"/>
    <w:rsid w:val="00D57D65"/>
    <w:rsid w:val="00D63C0F"/>
    <w:rsid w:val="00D63D90"/>
    <w:rsid w:val="00D72D72"/>
    <w:rsid w:val="00D7681E"/>
    <w:rsid w:val="00D76943"/>
    <w:rsid w:val="00D77AB9"/>
    <w:rsid w:val="00D804F3"/>
    <w:rsid w:val="00D82A81"/>
    <w:rsid w:val="00D866B7"/>
    <w:rsid w:val="00D9079A"/>
    <w:rsid w:val="00D921D8"/>
    <w:rsid w:val="00D9259F"/>
    <w:rsid w:val="00D927A5"/>
    <w:rsid w:val="00D92ECE"/>
    <w:rsid w:val="00D95B63"/>
    <w:rsid w:val="00D960BA"/>
    <w:rsid w:val="00D96365"/>
    <w:rsid w:val="00D97309"/>
    <w:rsid w:val="00DA0994"/>
    <w:rsid w:val="00DA1AFD"/>
    <w:rsid w:val="00DA3003"/>
    <w:rsid w:val="00DA47B2"/>
    <w:rsid w:val="00DA75A5"/>
    <w:rsid w:val="00DA7B15"/>
    <w:rsid w:val="00DB0BD9"/>
    <w:rsid w:val="00DB4BEF"/>
    <w:rsid w:val="00DB647B"/>
    <w:rsid w:val="00DC33AE"/>
    <w:rsid w:val="00DC3B86"/>
    <w:rsid w:val="00DC41CE"/>
    <w:rsid w:val="00DD0547"/>
    <w:rsid w:val="00DD0B8B"/>
    <w:rsid w:val="00DD0E1F"/>
    <w:rsid w:val="00DD0F53"/>
    <w:rsid w:val="00DD3FD6"/>
    <w:rsid w:val="00DD412B"/>
    <w:rsid w:val="00DD7CDF"/>
    <w:rsid w:val="00DE30F0"/>
    <w:rsid w:val="00DF04C4"/>
    <w:rsid w:val="00DF132A"/>
    <w:rsid w:val="00DF2A23"/>
    <w:rsid w:val="00DF3A9E"/>
    <w:rsid w:val="00DF468A"/>
    <w:rsid w:val="00DF5256"/>
    <w:rsid w:val="00DF6970"/>
    <w:rsid w:val="00E10B8D"/>
    <w:rsid w:val="00E121D2"/>
    <w:rsid w:val="00E13D5C"/>
    <w:rsid w:val="00E15E36"/>
    <w:rsid w:val="00E16957"/>
    <w:rsid w:val="00E16E9B"/>
    <w:rsid w:val="00E26DD7"/>
    <w:rsid w:val="00E32B3C"/>
    <w:rsid w:val="00E37F8B"/>
    <w:rsid w:val="00E404B2"/>
    <w:rsid w:val="00E407D2"/>
    <w:rsid w:val="00E42B3E"/>
    <w:rsid w:val="00E43895"/>
    <w:rsid w:val="00E4539A"/>
    <w:rsid w:val="00E46B91"/>
    <w:rsid w:val="00E50F28"/>
    <w:rsid w:val="00E51FDF"/>
    <w:rsid w:val="00E531E3"/>
    <w:rsid w:val="00E54EE2"/>
    <w:rsid w:val="00E55AE3"/>
    <w:rsid w:val="00E60E56"/>
    <w:rsid w:val="00E610EC"/>
    <w:rsid w:val="00E616BE"/>
    <w:rsid w:val="00E62290"/>
    <w:rsid w:val="00E625A1"/>
    <w:rsid w:val="00E6429B"/>
    <w:rsid w:val="00E643C9"/>
    <w:rsid w:val="00E64C71"/>
    <w:rsid w:val="00E653FF"/>
    <w:rsid w:val="00E67566"/>
    <w:rsid w:val="00E76062"/>
    <w:rsid w:val="00E81CDC"/>
    <w:rsid w:val="00E82601"/>
    <w:rsid w:val="00E84632"/>
    <w:rsid w:val="00E87290"/>
    <w:rsid w:val="00E90CE0"/>
    <w:rsid w:val="00E9222A"/>
    <w:rsid w:val="00E93541"/>
    <w:rsid w:val="00E962D1"/>
    <w:rsid w:val="00E96998"/>
    <w:rsid w:val="00EA250F"/>
    <w:rsid w:val="00EA4026"/>
    <w:rsid w:val="00EB1A19"/>
    <w:rsid w:val="00EB2128"/>
    <w:rsid w:val="00EB287E"/>
    <w:rsid w:val="00EC0959"/>
    <w:rsid w:val="00EC1EC9"/>
    <w:rsid w:val="00EC2FCB"/>
    <w:rsid w:val="00EC424E"/>
    <w:rsid w:val="00EC4335"/>
    <w:rsid w:val="00EC791E"/>
    <w:rsid w:val="00ED06BE"/>
    <w:rsid w:val="00ED377E"/>
    <w:rsid w:val="00EE0997"/>
    <w:rsid w:val="00EE2E4C"/>
    <w:rsid w:val="00EE2F2B"/>
    <w:rsid w:val="00EE4533"/>
    <w:rsid w:val="00EE5F75"/>
    <w:rsid w:val="00EF47E8"/>
    <w:rsid w:val="00EF785E"/>
    <w:rsid w:val="00F0053F"/>
    <w:rsid w:val="00F0516A"/>
    <w:rsid w:val="00F0564C"/>
    <w:rsid w:val="00F06BF8"/>
    <w:rsid w:val="00F10539"/>
    <w:rsid w:val="00F10830"/>
    <w:rsid w:val="00F10AFB"/>
    <w:rsid w:val="00F1314C"/>
    <w:rsid w:val="00F13F4D"/>
    <w:rsid w:val="00F142FF"/>
    <w:rsid w:val="00F168CB"/>
    <w:rsid w:val="00F17769"/>
    <w:rsid w:val="00F1793A"/>
    <w:rsid w:val="00F21F43"/>
    <w:rsid w:val="00F2428E"/>
    <w:rsid w:val="00F26742"/>
    <w:rsid w:val="00F267AD"/>
    <w:rsid w:val="00F30AA0"/>
    <w:rsid w:val="00F36576"/>
    <w:rsid w:val="00F36E0D"/>
    <w:rsid w:val="00F37C1E"/>
    <w:rsid w:val="00F37F8D"/>
    <w:rsid w:val="00F4203D"/>
    <w:rsid w:val="00F43507"/>
    <w:rsid w:val="00F46B9A"/>
    <w:rsid w:val="00F4777A"/>
    <w:rsid w:val="00F5091A"/>
    <w:rsid w:val="00F52580"/>
    <w:rsid w:val="00F542E7"/>
    <w:rsid w:val="00F54A06"/>
    <w:rsid w:val="00F57125"/>
    <w:rsid w:val="00F575A0"/>
    <w:rsid w:val="00F6038A"/>
    <w:rsid w:val="00F633F3"/>
    <w:rsid w:val="00F638F3"/>
    <w:rsid w:val="00F6421F"/>
    <w:rsid w:val="00F65909"/>
    <w:rsid w:val="00F672C0"/>
    <w:rsid w:val="00F701F2"/>
    <w:rsid w:val="00F70E7B"/>
    <w:rsid w:val="00F7258E"/>
    <w:rsid w:val="00F727C8"/>
    <w:rsid w:val="00F73B97"/>
    <w:rsid w:val="00F73C3F"/>
    <w:rsid w:val="00F75EBE"/>
    <w:rsid w:val="00F76DF2"/>
    <w:rsid w:val="00F773E9"/>
    <w:rsid w:val="00F7780F"/>
    <w:rsid w:val="00F828A0"/>
    <w:rsid w:val="00F83E7F"/>
    <w:rsid w:val="00F84313"/>
    <w:rsid w:val="00F87782"/>
    <w:rsid w:val="00F87C3F"/>
    <w:rsid w:val="00F94F08"/>
    <w:rsid w:val="00F958E0"/>
    <w:rsid w:val="00F9693C"/>
    <w:rsid w:val="00F96BD1"/>
    <w:rsid w:val="00FA07BC"/>
    <w:rsid w:val="00FA289E"/>
    <w:rsid w:val="00FA5EEE"/>
    <w:rsid w:val="00FB0757"/>
    <w:rsid w:val="00FB48A3"/>
    <w:rsid w:val="00FB51B3"/>
    <w:rsid w:val="00FB5F33"/>
    <w:rsid w:val="00FC21DE"/>
    <w:rsid w:val="00FC448F"/>
    <w:rsid w:val="00FC5B6C"/>
    <w:rsid w:val="00FC73F6"/>
    <w:rsid w:val="00FD006A"/>
    <w:rsid w:val="00FD33AA"/>
    <w:rsid w:val="00FD7B3F"/>
    <w:rsid w:val="00FE1943"/>
    <w:rsid w:val="00FE1BB6"/>
    <w:rsid w:val="00FE1D11"/>
    <w:rsid w:val="00FE3FB3"/>
    <w:rsid w:val="00FF333C"/>
    <w:rsid w:val="00FF6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C67D82"/>
  <w14:defaultImageDpi w14:val="32767"/>
  <w15:chartTrackingRefBased/>
  <w15:docId w15:val="{E97AB5FB-6C08-42C0-88F2-84685D4EF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75F"/>
    <w:pPr>
      <w:spacing w:after="160" w:line="259" w:lineRule="auto"/>
    </w:pPr>
    <w:rPr>
      <w:b/>
      <w:sz w:val="22"/>
      <w:szCs w:val="22"/>
      <w:lang w:val="en-IN"/>
    </w:rPr>
  </w:style>
  <w:style w:type="paragraph" w:styleId="Heading1">
    <w:name w:val="heading 1"/>
    <w:aliases w:val="Khaitan Heading 1"/>
    <w:basedOn w:val="KCOHead2"/>
    <w:next w:val="Normal"/>
    <w:link w:val="Heading1Char"/>
    <w:uiPriority w:val="9"/>
    <w:qFormat/>
    <w:rsid w:val="00976D75"/>
    <w:pPr>
      <w:outlineLvl w:val="0"/>
    </w:pPr>
    <w:rPr>
      <w:caps/>
    </w:rPr>
  </w:style>
  <w:style w:type="paragraph" w:styleId="Heading2">
    <w:name w:val="heading 2"/>
    <w:aliases w:val="Khaitan Heading 2"/>
    <w:basedOn w:val="Normal"/>
    <w:next w:val="Normal"/>
    <w:link w:val="Heading2Char"/>
    <w:uiPriority w:val="9"/>
    <w:unhideWhenUsed/>
    <w:qFormat/>
    <w:rsid w:val="006C52D1"/>
    <w:pPr>
      <w:keepNext/>
      <w:widowControl w:val="0"/>
      <w:numPr>
        <w:ilvl w:val="1"/>
        <w:numId w:val="2"/>
      </w:numPr>
      <w:spacing w:after="240" w:line="240" w:lineRule="auto"/>
      <w:jc w:val="both"/>
      <w:outlineLvl w:val="1"/>
    </w:pPr>
    <w:rPr>
      <w:rFonts w:ascii="Calibri" w:eastAsiaTheme="majorEastAsia" w:hAnsi="Calibri" w:cstheme="majorBidi"/>
      <w:szCs w:val="26"/>
    </w:rPr>
  </w:style>
  <w:style w:type="paragraph" w:styleId="Heading3">
    <w:name w:val="heading 3"/>
    <w:aliases w:val="Khaitan Heading 3"/>
    <w:basedOn w:val="Normal"/>
    <w:next w:val="Normal"/>
    <w:link w:val="Heading3Char"/>
    <w:uiPriority w:val="9"/>
    <w:unhideWhenUsed/>
    <w:qFormat/>
    <w:rsid w:val="006C52D1"/>
    <w:pPr>
      <w:keepNext/>
      <w:widowControl w:val="0"/>
      <w:numPr>
        <w:ilvl w:val="2"/>
        <w:numId w:val="2"/>
      </w:numPr>
      <w:spacing w:after="240" w:line="240" w:lineRule="auto"/>
      <w:jc w:val="both"/>
      <w:outlineLvl w:val="2"/>
    </w:pPr>
    <w:rPr>
      <w:rFonts w:ascii="Calibri" w:eastAsiaTheme="majorEastAsia" w:hAnsi="Calibri" w:cstheme="majorBidi"/>
      <w:b w:val="0"/>
      <w:szCs w:val="24"/>
      <w:u w:val="single"/>
    </w:rPr>
  </w:style>
  <w:style w:type="paragraph" w:styleId="Heading4">
    <w:name w:val="heading 4"/>
    <w:aliases w:val="Khaitan Heading 4"/>
    <w:basedOn w:val="Normal"/>
    <w:next w:val="Normal"/>
    <w:link w:val="Heading4Char"/>
    <w:uiPriority w:val="9"/>
    <w:unhideWhenUsed/>
    <w:qFormat/>
    <w:rsid w:val="006C52D1"/>
    <w:pPr>
      <w:keepNext/>
      <w:widowControl w:val="0"/>
      <w:numPr>
        <w:ilvl w:val="3"/>
        <w:numId w:val="2"/>
      </w:numPr>
      <w:spacing w:after="240" w:line="240" w:lineRule="auto"/>
      <w:jc w:val="both"/>
      <w:outlineLvl w:val="3"/>
    </w:pPr>
    <w:rPr>
      <w:rFonts w:ascii="Calibri" w:eastAsiaTheme="majorEastAsia" w:hAnsi="Calibri" w:cstheme="majorBidi"/>
      <w:b w:val="0"/>
      <w:iCs/>
      <w:u w:val="single"/>
    </w:rPr>
  </w:style>
  <w:style w:type="paragraph" w:styleId="Heading5">
    <w:name w:val="heading 5"/>
    <w:aliases w:val="Khaitan Heading 5"/>
    <w:basedOn w:val="Normal"/>
    <w:next w:val="Normal"/>
    <w:link w:val="Heading5Char"/>
    <w:uiPriority w:val="9"/>
    <w:unhideWhenUsed/>
    <w:qFormat/>
    <w:rsid w:val="006C52D1"/>
    <w:pPr>
      <w:keepNext/>
      <w:widowControl w:val="0"/>
      <w:numPr>
        <w:ilvl w:val="4"/>
        <w:numId w:val="2"/>
      </w:numPr>
      <w:spacing w:after="240" w:line="240" w:lineRule="auto"/>
      <w:jc w:val="both"/>
      <w:outlineLvl w:val="4"/>
    </w:pPr>
    <w:rPr>
      <w:rFonts w:ascii="Calibri" w:eastAsiaTheme="majorEastAsia" w:hAnsi="Calibri" w:cstheme="majorBidi"/>
      <w:b w:val="0"/>
    </w:rPr>
  </w:style>
  <w:style w:type="paragraph" w:styleId="Heading6">
    <w:name w:val="heading 6"/>
    <w:aliases w:val="Khaitan Heading 6"/>
    <w:basedOn w:val="Normal"/>
    <w:next w:val="Normal"/>
    <w:link w:val="Heading6Char"/>
    <w:uiPriority w:val="9"/>
    <w:unhideWhenUsed/>
    <w:qFormat/>
    <w:rsid w:val="00B774F7"/>
    <w:pPr>
      <w:keepNext/>
      <w:keepLines/>
      <w:numPr>
        <w:ilvl w:val="5"/>
        <w:numId w:val="2"/>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B774F7"/>
    <w:pPr>
      <w:keepNext/>
      <w:keepLines/>
      <w:numPr>
        <w:ilvl w:val="6"/>
        <w:numId w:val="2"/>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B774F7"/>
    <w:pPr>
      <w:keepNext/>
      <w:keepLines/>
      <w:numPr>
        <w:ilvl w:val="7"/>
        <w:numId w:val="2"/>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74F7"/>
    <w:pPr>
      <w:keepNext/>
      <w:keepLines/>
      <w:numPr>
        <w:ilvl w:val="8"/>
        <w:numId w:val="2"/>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4F7"/>
    <w:pPr>
      <w:ind w:left="720"/>
      <w:contextualSpacing/>
    </w:pPr>
  </w:style>
  <w:style w:type="character" w:customStyle="1" w:styleId="Heading1Char">
    <w:name w:val="Heading 1 Char"/>
    <w:aliases w:val="Khaitan Heading 1 Char"/>
    <w:basedOn w:val="DefaultParagraphFont"/>
    <w:link w:val="Heading1"/>
    <w:uiPriority w:val="9"/>
    <w:rsid w:val="00976D75"/>
    <w:rPr>
      <w:rFonts w:ascii="Khaitan" w:hAnsi="Khaitan" w:cs="Gotham Book"/>
      <w:caps/>
      <w:color w:val="E8425C"/>
      <w:sz w:val="26"/>
      <w:szCs w:val="26"/>
      <w:lang w:val="en-GB"/>
    </w:rPr>
  </w:style>
  <w:style w:type="paragraph" w:styleId="TOC6">
    <w:name w:val="toc 6"/>
    <w:basedOn w:val="Normal"/>
    <w:next w:val="Normal"/>
    <w:autoRedefine/>
    <w:uiPriority w:val="39"/>
    <w:unhideWhenUsed/>
    <w:rsid w:val="003574D6"/>
    <w:pPr>
      <w:spacing w:after="0"/>
    </w:pPr>
  </w:style>
  <w:style w:type="character" w:customStyle="1" w:styleId="Heading2Char">
    <w:name w:val="Heading 2 Char"/>
    <w:aliases w:val="Khaitan Heading 2 Char"/>
    <w:basedOn w:val="DefaultParagraphFont"/>
    <w:link w:val="Heading2"/>
    <w:uiPriority w:val="9"/>
    <w:rsid w:val="006C52D1"/>
    <w:rPr>
      <w:rFonts w:ascii="Calibri" w:eastAsiaTheme="majorEastAsia" w:hAnsi="Calibri" w:cstheme="majorBidi"/>
      <w:b/>
      <w:sz w:val="22"/>
      <w:szCs w:val="26"/>
      <w:lang w:val="en-IN"/>
    </w:rPr>
  </w:style>
  <w:style w:type="paragraph" w:styleId="ListNumber5">
    <w:name w:val="List Number 5"/>
    <w:basedOn w:val="Normal"/>
    <w:uiPriority w:val="99"/>
    <w:semiHidden/>
    <w:unhideWhenUsed/>
    <w:rsid w:val="00C24BB0"/>
    <w:pPr>
      <w:numPr>
        <w:numId w:val="1"/>
      </w:numPr>
      <w:contextualSpacing/>
    </w:pPr>
  </w:style>
  <w:style w:type="character" w:customStyle="1" w:styleId="Heading3Char">
    <w:name w:val="Heading 3 Char"/>
    <w:aliases w:val="Khaitan Heading 3 Char"/>
    <w:basedOn w:val="DefaultParagraphFont"/>
    <w:link w:val="Heading3"/>
    <w:uiPriority w:val="9"/>
    <w:rsid w:val="006C52D1"/>
    <w:rPr>
      <w:rFonts w:ascii="Calibri" w:eastAsiaTheme="majorEastAsia" w:hAnsi="Calibri" w:cstheme="majorBidi"/>
      <w:sz w:val="22"/>
      <w:u w:val="single"/>
      <w:lang w:val="en-IN"/>
    </w:rPr>
  </w:style>
  <w:style w:type="paragraph" w:styleId="TOC4">
    <w:name w:val="toc 4"/>
    <w:basedOn w:val="Normal"/>
    <w:next w:val="Normal"/>
    <w:autoRedefine/>
    <w:uiPriority w:val="39"/>
    <w:unhideWhenUsed/>
    <w:rsid w:val="00566802"/>
    <w:pPr>
      <w:spacing w:after="0"/>
    </w:pPr>
  </w:style>
  <w:style w:type="character" w:customStyle="1" w:styleId="Heading4Char">
    <w:name w:val="Heading 4 Char"/>
    <w:aliases w:val="Khaitan Heading 4 Char"/>
    <w:basedOn w:val="DefaultParagraphFont"/>
    <w:link w:val="Heading4"/>
    <w:uiPriority w:val="9"/>
    <w:rsid w:val="006C52D1"/>
    <w:rPr>
      <w:rFonts w:ascii="Calibri" w:eastAsiaTheme="majorEastAsia" w:hAnsi="Calibri" w:cstheme="majorBidi"/>
      <w:iCs/>
      <w:sz w:val="22"/>
      <w:szCs w:val="22"/>
      <w:u w:val="single"/>
      <w:lang w:val="en-IN"/>
    </w:rPr>
  </w:style>
  <w:style w:type="paragraph" w:styleId="TOC5">
    <w:name w:val="toc 5"/>
    <w:basedOn w:val="Normal"/>
    <w:next w:val="Normal"/>
    <w:autoRedefine/>
    <w:uiPriority w:val="39"/>
    <w:unhideWhenUsed/>
    <w:rsid w:val="00566802"/>
    <w:pPr>
      <w:spacing w:after="0"/>
    </w:pPr>
  </w:style>
  <w:style w:type="character" w:customStyle="1" w:styleId="Heading5Char">
    <w:name w:val="Heading 5 Char"/>
    <w:aliases w:val="Khaitan Heading 5 Char"/>
    <w:basedOn w:val="DefaultParagraphFont"/>
    <w:link w:val="Heading5"/>
    <w:uiPriority w:val="9"/>
    <w:rsid w:val="006C52D1"/>
    <w:rPr>
      <w:rFonts w:ascii="Calibri" w:eastAsiaTheme="majorEastAsia" w:hAnsi="Calibri" w:cstheme="majorBidi"/>
      <w:sz w:val="22"/>
      <w:szCs w:val="22"/>
      <w:lang w:val="en-IN"/>
    </w:rPr>
  </w:style>
  <w:style w:type="paragraph" w:styleId="TOC7">
    <w:name w:val="toc 7"/>
    <w:basedOn w:val="Normal"/>
    <w:next w:val="Normal"/>
    <w:autoRedefine/>
    <w:uiPriority w:val="39"/>
    <w:unhideWhenUsed/>
    <w:rsid w:val="003574D6"/>
    <w:pPr>
      <w:spacing w:after="0"/>
    </w:pPr>
  </w:style>
  <w:style w:type="character" w:customStyle="1" w:styleId="Heading6Char">
    <w:name w:val="Heading 6 Char"/>
    <w:aliases w:val="Khaitan Heading 6 Char"/>
    <w:basedOn w:val="DefaultParagraphFont"/>
    <w:link w:val="Heading6"/>
    <w:uiPriority w:val="9"/>
    <w:rsid w:val="00B774F7"/>
    <w:rPr>
      <w:rFonts w:eastAsiaTheme="majorEastAsia" w:cstheme="majorBidi"/>
      <w:b/>
      <w:color w:val="243F60" w:themeColor="accent1" w:themeShade="7F"/>
      <w:sz w:val="22"/>
      <w:szCs w:val="22"/>
      <w:lang w:val="en-IN"/>
    </w:rPr>
  </w:style>
  <w:style w:type="paragraph" w:styleId="FootnoteText">
    <w:name w:val="footnote text"/>
    <w:aliases w:val="Khaitan Footnote Text"/>
    <w:basedOn w:val="Normal"/>
    <w:link w:val="FootnoteTextChar"/>
    <w:qFormat/>
    <w:rsid w:val="00A93A70"/>
    <w:pPr>
      <w:spacing w:after="0" w:line="240" w:lineRule="auto"/>
      <w:jc w:val="both"/>
    </w:pPr>
    <w:rPr>
      <w:rFonts w:ascii="Calibri" w:eastAsia="Times New Roman" w:hAnsi="Calibri" w:cs="Times New Roman"/>
      <w:sz w:val="18"/>
      <w:szCs w:val="20"/>
      <w:lang w:val="en-US"/>
    </w:rPr>
  </w:style>
  <w:style w:type="character" w:customStyle="1" w:styleId="FootnoteTextChar">
    <w:name w:val="Footnote Text Char"/>
    <w:aliases w:val="Khaitan Footnote Text Char"/>
    <w:basedOn w:val="DefaultParagraphFont"/>
    <w:link w:val="FootnoteText"/>
    <w:rsid w:val="00A93A70"/>
    <w:rPr>
      <w:rFonts w:ascii="Calibri" w:eastAsia="Times New Roman" w:hAnsi="Calibri" w:cs="Times New Roman"/>
      <w:sz w:val="18"/>
      <w:szCs w:val="20"/>
    </w:rPr>
  </w:style>
  <w:style w:type="paragraph" w:styleId="TOC8">
    <w:name w:val="toc 8"/>
    <w:basedOn w:val="Normal"/>
    <w:next w:val="Normal"/>
    <w:autoRedefine/>
    <w:uiPriority w:val="39"/>
    <w:unhideWhenUsed/>
    <w:rsid w:val="003574D6"/>
    <w:pPr>
      <w:spacing w:after="0"/>
    </w:pPr>
  </w:style>
  <w:style w:type="paragraph" w:styleId="TOC9">
    <w:name w:val="toc 9"/>
    <w:basedOn w:val="Normal"/>
    <w:next w:val="Normal"/>
    <w:autoRedefine/>
    <w:uiPriority w:val="39"/>
    <w:unhideWhenUsed/>
    <w:rsid w:val="003574D6"/>
    <w:pPr>
      <w:spacing w:after="0"/>
    </w:pPr>
  </w:style>
  <w:style w:type="paragraph" w:styleId="TOC1">
    <w:name w:val="toc 1"/>
    <w:basedOn w:val="KCOHead1"/>
    <w:next w:val="KCOHead1"/>
    <w:autoRedefine/>
    <w:uiPriority w:val="39"/>
    <w:unhideWhenUsed/>
    <w:qFormat/>
    <w:rsid w:val="00CE124B"/>
  </w:style>
  <w:style w:type="paragraph" w:styleId="TOC2">
    <w:name w:val="toc 2"/>
    <w:aliases w:val="KCO TOC 2"/>
    <w:basedOn w:val="KCOHead2"/>
    <w:next w:val="Normal"/>
    <w:uiPriority w:val="39"/>
    <w:qFormat/>
    <w:rsid w:val="00020662"/>
    <w:rPr>
      <w:caps/>
    </w:rPr>
  </w:style>
  <w:style w:type="paragraph" w:styleId="Footer">
    <w:name w:val="footer"/>
    <w:basedOn w:val="Normal"/>
    <w:link w:val="FooterChar"/>
    <w:uiPriority w:val="99"/>
    <w:unhideWhenUsed/>
    <w:rsid w:val="00B77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4F7"/>
    <w:rPr>
      <w:rFonts w:eastAsiaTheme="minorEastAsia"/>
      <w:sz w:val="22"/>
      <w:szCs w:val="22"/>
      <w:lang w:val="en-IN" w:eastAsia="en-IN"/>
    </w:rPr>
  </w:style>
  <w:style w:type="paragraph" w:styleId="Header">
    <w:name w:val="header"/>
    <w:basedOn w:val="Normal"/>
    <w:link w:val="HeaderChar"/>
    <w:uiPriority w:val="99"/>
    <w:unhideWhenUsed/>
    <w:rsid w:val="00B77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4F7"/>
    <w:rPr>
      <w:rFonts w:eastAsiaTheme="minorEastAsia"/>
      <w:sz w:val="22"/>
      <w:szCs w:val="22"/>
      <w:lang w:val="en-IN" w:eastAsia="en-IN"/>
    </w:rPr>
  </w:style>
  <w:style w:type="character" w:styleId="FootnoteReference">
    <w:name w:val="footnote reference"/>
    <w:aliases w:val="Khaitan Footnote Reference"/>
    <w:basedOn w:val="DefaultParagraphFont"/>
    <w:rsid w:val="00A93A70"/>
    <w:rPr>
      <w:rFonts w:ascii="Calibri" w:hAnsi="Calibri"/>
      <w:sz w:val="18"/>
      <w:vertAlign w:val="superscript"/>
    </w:rPr>
  </w:style>
  <w:style w:type="character" w:styleId="PageNumber">
    <w:name w:val="page number"/>
    <w:basedOn w:val="DefaultParagraphFont"/>
    <w:rsid w:val="00826201"/>
  </w:style>
  <w:style w:type="paragraph" w:styleId="TOC3">
    <w:name w:val="toc 3"/>
    <w:aliases w:val="KCO TOC 3"/>
    <w:basedOn w:val="Normal"/>
    <w:next w:val="Normal"/>
    <w:uiPriority w:val="39"/>
    <w:qFormat/>
    <w:rsid w:val="00883587"/>
    <w:pPr>
      <w:numPr>
        <w:numId w:val="3"/>
      </w:numPr>
      <w:tabs>
        <w:tab w:val="left" w:pos="227"/>
      </w:tabs>
      <w:spacing w:after="120" w:line="288" w:lineRule="auto"/>
    </w:pPr>
    <w:rPr>
      <w:rFonts w:ascii="Khaitan" w:hAnsi="Khaitan"/>
      <w:b w:val="0"/>
      <w:color w:val="7F7F7F" w:themeColor="text1" w:themeTint="80"/>
      <w:sz w:val="18"/>
      <w:szCs w:val="18"/>
    </w:rPr>
  </w:style>
  <w:style w:type="character" w:customStyle="1" w:styleId="Heading7Char">
    <w:name w:val="Heading 7 Char"/>
    <w:basedOn w:val="DefaultParagraphFont"/>
    <w:link w:val="Heading7"/>
    <w:uiPriority w:val="9"/>
    <w:semiHidden/>
    <w:rsid w:val="00B774F7"/>
    <w:rPr>
      <w:rFonts w:eastAsiaTheme="majorEastAsia" w:cstheme="majorBidi"/>
      <w:b/>
      <w:i/>
      <w:iCs/>
      <w:color w:val="243F60" w:themeColor="accent1" w:themeShade="7F"/>
      <w:sz w:val="22"/>
      <w:szCs w:val="22"/>
      <w:lang w:val="en-IN"/>
    </w:rPr>
  </w:style>
  <w:style w:type="character" w:customStyle="1" w:styleId="Heading8Char">
    <w:name w:val="Heading 8 Char"/>
    <w:basedOn w:val="DefaultParagraphFont"/>
    <w:link w:val="Heading8"/>
    <w:uiPriority w:val="9"/>
    <w:semiHidden/>
    <w:rsid w:val="00B774F7"/>
    <w:rPr>
      <w:rFonts w:eastAsiaTheme="majorEastAsia" w:cstheme="majorBidi"/>
      <w:b/>
      <w:color w:val="272727" w:themeColor="text1" w:themeTint="D8"/>
      <w:sz w:val="21"/>
      <w:szCs w:val="21"/>
      <w:lang w:val="en-IN"/>
    </w:rPr>
  </w:style>
  <w:style w:type="character" w:customStyle="1" w:styleId="Heading9Char">
    <w:name w:val="Heading 9 Char"/>
    <w:basedOn w:val="DefaultParagraphFont"/>
    <w:link w:val="Heading9"/>
    <w:uiPriority w:val="9"/>
    <w:semiHidden/>
    <w:rsid w:val="00B774F7"/>
    <w:rPr>
      <w:rFonts w:eastAsiaTheme="majorEastAsia" w:cstheme="majorBidi"/>
      <w:b/>
      <w:i/>
      <w:iCs/>
      <w:color w:val="272727" w:themeColor="text1" w:themeTint="D8"/>
      <w:sz w:val="21"/>
      <w:szCs w:val="21"/>
      <w:lang w:val="en-IN"/>
    </w:rPr>
  </w:style>
  <w:style w:type="character" w:styleId="Hyperlink">
    <w:name w:val="Hyperlink"/>
    <w:basedOn w:val="DefaultParagraphFont"/>
    <w:uiPriority w:val="99"/>
    <w:unhideWhenUsed/>
    <w:rsid w:val="00B774F7"/>
    <w:rPr>
      <w:color w:val="0000FF" w:themeColor="hyperlink"/>
      <w:u w:val="single"/>
    </w:rPr>
  </w:style>
  <w:style w:type="table" w:styleId="TableGrid">
    <w:name w:val="Table Grid"/>
    <w:basedOn w:val="TableNormal"/>
    <w:rsid w:val="00635536"/>
    <w:rPr>
      <w:b/>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COTable">
    <w:name w:val="KCO Table"/>
    <w:basedOn w:val="TableGrid"/>
    <w:uiPriority w:val="99"/>
    <w:rsid w:val="00033A2A"/>
    <w:rPr>
      <w:rFonts w:ascii="Calibri" w:hAnsi="Calibri"/>
      <w:b w:val="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pPr>
        <w:jc w:val="center"/>
      </w:pPr>
      <w:rPr>
        <w:rFonts w:ascii="Calibri" w:hAnsi="Calibri"/>
        <w:b w:val="0"/>
        <w:i w:val="0"/>
        <w:caps/>
        <w:smallCaps w:val="0"/>
        <w:vanish w:val="0"/>
        <w:spacing w:val="0"/>
        <w:w w:val="100"/>
        <w:kern w:val="0"/>
        <w:position w:val="0"/>
        <w:sz w:val="22"/>
      </w:rPr>
      <w:tblPr/>
      <w:trPr>
        <w:tblHeader/>
      </w:trPr>
      <w:tcPr>
        <w:shd w:val="clear" w:color="auto" w:fill="BFBFBF" w:themeFill="background1" w:themeFillShade="BF"/>
        <w:vAlign w:val="center"/>
      </w:tcPr>
    </w:tblStylePr>
  </w:style>
  <w:style w:type="paragraph" w:customStyle="1" w:styleId="BasicParagraph">
    <w:name w:val="[Basic Paragraph]"/>
    <w:basedOn w:val="Normal"/>
    <w:uiPriority w:val="99"/>
    <w:rsid w:val="008943EC"/>
    <w:pPr>
      <w:autoSpaceDE w:val="0"/>
      <w:autoSpaceDN w:val="0"/>
      <w:adjustRightInd w:val="0"/>
      <w:spacing w:after="0" w:line="288" w:lineRule="auto"/>
      <w:textAlignment w:val="center"/>
    </w:pPr>
    <w:rPr>
      <w:rFonts w:ascii="Minion Pro" w:hAnsi="Minion Pro" w:cs="Minion Pro"/>
      <w:b w:val="0"/>
      <w:color w:val="000000"/>
      <w:sz w:val="24"/>
      <w:szCs w:val="24"/>
      <w:lang w:val="en-GB"/>
    </w:rPr>
  </w:style>
  <w:style w:type="paragraph" w:customStyle="1" w:styleId="Pa0">
    <w:name w:val="Pa0"/>
    <w:basedOn w:val="Normal"/>
    <w:next w:val="Normal"/>
    <w:uiPriority w:val="99"/>
    <w:rsid w:val="000B2B42"/>
    <w:pPr>
      <w:autoSpaceDE w:val="0"/>
      <w:autoSpaceDN w:val="0"/>
      <w:adjustRightInd w:val="0"/>
      <w:spacing w:after="0" w:line="241" w:lineRule="atLeast"/>
    </w:pPr>
    <w:rPr>
      <w:rFonts w:ascii="Gotham Light" w:hAnsi="Gotham Light"/>
      <w:b w:val="0"/>
      <w:sz w:val="24"/>
      <w:szCs w:val="24"/>
    </w:rPr>
  </w:style>
  <w:style w:type="character" w:customStyle="1" w:styleId="A5">
    <w:name w:val="A5"/>
    <w:uiPriority w:val="99"/>
    <w:rsid w:val="000B2B42"/>
    <w:rPr>
      <w:rFonts w:cs="Gotham Light"/>
      <w:color w:val="F16155"/>
      <w:sz w:val="56"/>
      <w:szCs w:val="56"/>
    </w:rPr>
  </w:style>
  <w:style w:type="character" w:customStyle="1" w:styleId="A1">
    <w:name w:val="A1"/>
    <w:uiPriority w:val="99"/>
    <w:rsid w:val="000B2B42"/>
    <w:rPr>
      <w:rFonts w:ascii="Gotham Book" w:hAnsi="Gotham Book" w:cs="Gotham Book"/>
      <w:color w:val="F04E63"/>
      <w:sz w:val="28"/>
      <w:szCs w:val="28"/>
    </w:rPr>
  </w:style>
  <w:style w:type="paragraph" w:customStyle="1" w:styleId="Pa2">
    <w:name w:val="Pa2"/>
    <w:basedOn w:val="Normal"/>
    <w:next w:val="Normal"/>
    <w:uiPriority w:val="99"/>
    <w:rsid w:val="000B2B42"/>
    <w:pPr>
      <w:autoSpaceDE w:val="0"/>
      <w:autoSpaceDN w:val="0"/>
      <w:adjustRightInd w:val="0"/>
      <w:spacing w:after="0" w:line="241" w:lineRule="atLeast"/>
    </w:pPr>
    <w:rPr>
      <w:rFonts w:ascii="Gotham Light" w:hAnsi="Gotham Light"/>
      <w:b w:val="0"/>
      <w:sz w:val="24"/>
      <w:szCs w:val="24"/>
    </w:rPr>
  </w:style>
  <w:style w:type="character" w:customStyle="1" w:styleId="A3">
    <w:name w:val="A3"/>
    <w:uiPriority w:val="99"/>
    <w:rsid w:val="000B2B42"/>
    <w:rPr>
      <w:rFonts w:ascii="Calibri" w:hAnsi="Calibri" w:cs="Calibri"/>
      <w:color w:val="312E30"/>
      <w:sz w:val="20"/>
      <w:szCs w:val="20"/>
    </w:rPr>
  </w:style>
  <w:style w:type="character" w:styleId="Emphasis">
    <w:name w:val="Emphasis"/>
    <w:basedOn w:val="DefaultParagraphFont"/>
    <w:uiPriority w:val="20"/>
    <w:qFormat/>
    <w:rsid w:val="00B85F24"/>
    <w:rPr>
      <w:i/>
      <w:iCs/>
    </w:rPr>
  </w:style>
  <w:style w:type="paragraph" w:styleId="NoSpacing">
    <w:name w:val="No Spacing"/>
    <w:uiPriority w:val="1"/>
    <w:qFormat/>
    <w:rsid w:val="00B85F24"/>
    <w:rPr>
      <w:b/>
      <w:sz w:val="22"/>
      <w:szCs w:val="22"/>
      <w:lang w:val="en-IN"/>
    </w:rPr>
  </w:style>
  <w:style w:type="paragraph" w:customStyle="1" w:styleId="KCOHead1">
    <w:name w:val="KCO Head1"/>
    <w:basedOn w:val="Normal"/>
    <w:qFormat/>
    <w:rsid w:val="004C375F"/>
    <w:pPr>
      <w:tabs>
        <w:tab w:val="left" w:pos="360"/>
      </w:tabs>
      <w:suppressAutoHyphens/>
      <w:autoSpaceDE w:val="0"/>
      <w:autoSpaceDN w:val="0"/>
      <w:adjustRightInd w:val="0"/>
      <w:spacing w:after="0" w:line="240" w:lineRule="auto"/>
      <w:textAlignment w:val="center"/>
    </w:pPr>
    <w:rPr>
      <w:rFonts w:ascii="Khaitan" w:hAnsi="Khaitan" w:cs="Gotham Light"/>
      <w:b w:val="0"/>
      <w:color w:val="E8425C"/>
      <w:sz w:val="56"/>
      <w:szCs w:val="56"/>
      <w:lang w:val="en-GB"/>
    </w:rPr>
  </w:style>
  <w:style w:type="paragraph" w:customStyle="1" w:styleId="KCOHead2">
    <w:name w:val="KCO Head2"/>
    <w:basedOn w:val="Normal"/>
    <w:qFormat/>
    <w:rsid w:val="004C375F"/>
    <w:pPr>
      <w:tabs>
        <w:tab w:val="left" w:pos="360"/>
      </w:tabs>
      <w:suppressAutoHyphens/>
      <w:autoSpaceDE w:val="0"/>
      <w:autoSpaceDN w:val="0"/>
      <w:adjustRightInd w:val="0"/>
      <w:spacing w:after="120" w:line="288" w:lineRule="auto"/>
      <w:textAlignment w:val="center"/>
    </w:pPr>
    <w:rPr>
      <w:rFonts w:ascii="Khaitan" w:hAnsi="Khaitan" w:cs="Gotham Book"/>
      <w:b w:val="0"/>
      <w:color w:val="E8425C"/>
      <w:sz w:val="26"/>
      <w:szCs w:val="26"/>
      <w:lang w:val="en-GB"/>
    </w:rPr>
  </w:style>
  <w:style w:type="paragraph" w:customStyle="1" w:styleId="KCOHead3">
    <w:name w:val="KCO Head3"/>
    <w:basedOn w:val="Normal"/>
    <w:qFormat/>
    <w:rsid w:val="004C375F"/>
    <w:pPr>
      <w:suppressAutoHyphens/>
      <w:autoSpaceDE w:val="0"/>
      <w:autoSpaceDN w:val="0"/>
      <w:adjustRightInd w:val="0"/>
      <w:spacing w:after="200" w:line="288" w:lineRule="auto"/>
      <w:textAlignment w:val="center"/>
    </w:pPr>
    <w:rPr>
      <w:rFonts w:ascii="Khaitan" w:hAnsi="Khaitan" w:cs="Gotham Light"/>
      <w:b w:val="0"/>
      <w:color w:val="0075BE"/>
      <w:sz w:val="26"/>
      <w:szCs w:val="26"/>
      <w:lang w:val="en-GB"/>
    </w:rPr>
  </w:style>
  <w:style w:type="paragraph" w:customStyle="1" w:styleId="KCOText">
    <w:name w:val="KCO Text"/>
    <w:basedOn w:val="Normal"/>
    <w:qFormat/>
    <w:rsid w:val="004C375F"/>
    <w:pPr>
      <w:spacing w:after="200" w:line="288" w:lineRule="auto"/>
      <w:jc w:val="both"/>
    </w:pPr>
    <w:rPr>
      <w:rFonts w:ascii="Khaitan" w:hAnsi="Khaitan"/>
      <w:b w:val="0"/>
      <w:sz w:val="17"/>
      <w:szCs w:val="17"/>
    </w:rPr>
  </w:style>
  <w:style w:type="paragraph" w:customStyle="1" w:styleId="KCOTextHead">
    <w:name w:val="KCO Text Head"/>
    <w:basedOn w:val="Normal"/>
    <w:qFormat/>
    <w:rsid w:val="004C375F"/>
    <w:pPr>
      <w:spacing w:before="360" w:after="80" w:line="288" w:lineRule="auto"/>
      <w:jc w:val="both"/>
    </w:pPr>
    <w:rPr>
      <w:rFonts w:ascii="Khaitan" w:hAnsi="Khaitan"/>
      <w:bCs/>
      <w:sz w:val="17"/>
      <w:szCs w:val="17"/>
    </w:rPr>
  </w:style>
  <w:style w:type="paragraph" w:customStyle="1" w:styleId="KCOSplHead">
    <w:name w:val="KCO Spl Head"/>
    <w:basedOn w:val="Normal"/>
    <w:qFormat/>
    <w:rsid w:val="0047301E"/>
    <w:pPr>
      <w:tabs>
        <w:tab w:val="left" w:pos="360"/>
      </w:tabs>
      <w:suppressAutoHyphens/>
      <w:autoSpaceDE w:val="0"/>
      <w:autoSpaceDN w:val="0"/>
      <w:adjustRightInd w:val="0"/>
      <w:spacing w:after="200" w:line="288" w:lineRule="auto"/>
      <w:textAlignment w:val="center"/>
    </w:pPr>
    <w:rPr>
      <w:rFonts w:ascii="Khaitan" w:hAnsi="Khaitan" w:cs="Gotham Book"/>
      <w:bCs/>
      <w:caps/>
      <w:color w:val="404040" w:themeColor="text1" w:themeTint="BF"/>
      <w:spacing w:val="18"/>
      <w:sz w:val="20"/>
      <w:szCs w:val="20"/>
      <w:lang w:val="en-GB"/>
    </w:rPr>
  </w:style>
  <w:style w:type="character" w:styleId="UnresolvedMention">
    <w:name w:val="Unresolved Mention"/>
    <w:basedOn w:val="DefaultParagraphFont"/>
    <w:uiPriority w:val="99"/>
    <w:semiHidden/>
    <w:unhideWhenUsed/>
    <w:rsid w:val="00F52580"/>
    <w:rPr>
      <w:color w:val="605E5C"/>
      <w:shd w:val="clear" w:color="auto" w:fill="E1DFDD"/>
    </w:rPr>
  </w:style>
  <w:style w:type="paragraph" w:customStyle="1" w:styleId="BodyCopy">
    <w:name w:val="Body Copy"/>
    <w:basedOn w:val="Normal"/>
    <w:uiPriority w:val="99"/>
    <w:rsid w:val="00F10539"/>
    <w:pPr>
      <w:suppressAutoHyphens/>
      <w:autoSpaceDE w:val="0"/>
      <w:autoSpaceDN w:val="0"/>
      <w:adjustRightInd w:val="0"/>
      <w:spacing w:after="0" w:line="280" w:lineRule="atLeast"/>
      <w:textAlignment w:val="center"/>
    </w:pPr>
    <w:rPr>
      <w:rFonts w:ascii="Calibri Light" w:hAnsi="Calibri Light" w:cs="Calibri Light"/>
      <w:b w:val="0"/>
      <w:color w:val="272726"/>
      <w:spacing w:val="4"/>
      <w:lang w:val="en-GB"/>
    </w:rPr>
  </w:style>
  <w:style w:type="paragraph" w:styleId="CommentText">
    <w:name w:val="annotation text"/>
    <w:basedOn w:val="Normal"/>
    <w:link w:val="CommentTextChar"/>
    <w:uiPriority w:val="99"/>
    <w:unhideWhenUsed/>
    <w:rsid w:val="00976D75"/>
    <w:pPr>
      <w:spacing w:line="240" w:lineRule="auto"/>
    </w:pPr>
    <w:rPr>
      <w:sz w:val="20"/>
      <w:szCs w:val="20"/>
    </w:rPr>
  </w:style>
  <w:style w:type="character" w:customStyle="1" w:styleId="CommentTextChar">
    <w:name w:val="Comment Text Char"/>
    <w:basedOn w:val="DefaultParagraphFont"/>
    <w:link w:val="CommentText"/>
    <w:uiPriority w:val="99"/>
    <w:rsid w:val="00976D75"/>
    <w:rPr>
      <w:b/>
      <w:sz w:val="20"/>
      <w:szCs w:val="20"/>
      <w:lang w:val="en-IN"/>
    </w:rPr>
  </w:style>
  <w:style w:type="paragraph" w:styleId="CommentSubject">
    <w:name w:val="annotation subject"/>
    <w:basedOn w:val="CommentText"/>
    <w:next w:val="CommentText"/>
    <w:link w:val="CommentSubjectChar"/>
    <w:uiPriority w:val="99"/>
    <w:semiHidden/>
    <w:unhideWhenUsed/>
    <w:rsid w:val="00976D75"/>
    <w:pPr>
      <w:spacing w:after="0"/>
    </w:pPr>
    <w:rPr>
      <w:rFonts w:ascii="Calibri" w:hAnsi="Calibri" w:cs="Calibri"/>
      <w:bCs/>
      <w:lang w:val="en-US"/>
    </w:rPr>
  </w:style>
  <w:style w:type="character" w:customStyle="1" w:styleId="CommentSubjectChar">
    <w:name w:val="Comment Subject Char"/>
    <w:basedOn w:val="CommentTextChar"/>
    <w:link w:val="CommentSubject"/>
    <w:uiPriority w:val="99"/>
    <w:semiHidden/>
    <w:rsid w:val="00976D75"/>
    <w:rPr>
      <w:rFonts w:ascii="Calibri" w:hAnsi="Calibri" w:cs="Calibri"/>
      <w:b/>
      <w:bCs/>
      <w:sz w:val="20"/>
      <w:szCs w:val="20"/>
      <w:lang w:val="en-IN"/>
    </w:rPr>
  </w:style>
  <w:style w:type="paragraph" w:customStyle="1" w:styleId="KCOTextBul1">
    <w:name w:val="KCO Text Bul1"/>
    <w:basedOn w:val="KCOText"/>
    <w:qFormat/>
    <w:rsid w:val="00976D75"/>
    <w:pPr>
      <w:numPr>
        <w:numId w:val="4"/>
      </w:numPr>
    </w:pPr>
    <w:rPr>
      <w:lang w:val="en-US"/>
    </w:rPr>
  </w:style>
  <w:style w:type="paragraph" w:styleId="BalloonText">
    <w:name w:val="Balloon Text"/>
    <w:basedOn w:val="Normal"/>
    <w:link w:val="BalloonTextChar"/>
    <w:uiPriority w:val="99"/>
    <w:semiHidden/>
    <w:unhideWhenUsed/>
    <w:rsid w:val="00A969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904"/>
    <w:rPr>
      <w:rFonts w:ascii="Segoe UI" w:hAnsi="Segoe UI" w:cs="Segoe UI"/>
      <w:b/>
      <w:sz w:val="18"/>
      <w:szCs w:val="18"/>
      <w:lang w:val="en-IN"/>
    </w:rPr>
  </w:style>
  <w:style w:type="character" w:styleId="FollowedHyperlink">
    <w:name w:val="FollowedHyperlink"/>
    <w:basedOn w:val="DefaultParagraphFont"/>
    <w:uiPriority w:val="99"/>
    <w:semiHidden/>
    <w:unhideWhenUsed/>
    <w:rsid w:val="004F4AFC"/>
    <w:rPr>
      <w:color w:val="800080" w:themeColor="followedHyperlink"/>
      <w:u w:val="single"/>
    </w:rPr>
  </w:style>
  <w:style w:type="paragraph" w:styleId="Revision">
    <w:name w:val="Revision"/>
    <w:hidden/>
    <w:uiPriority w:val="99"/>
    <w:semiHidden/>
    <w:rsid w:val="00DC41CE"/>
    <w:rPr>
      <w:b/>
      <w:sz w:val="22"/>
      <w:szCs w:val="22"/>
      <w:lang w:val="en-IN"/>
    </w:rPr>
  </w:style>
  <w:style w:type="character" w:customStyle="1" w:styleId="ui-provider">
    <w:name w:val="ui-provider"/>
    <w:basedOn w:val="DefaultParagraphFont"/>
    <w:rsid w:val="009267EA"/>
  </w:style>
  <w:style w:type="paragraph" w:customStyle="1" w:styleId="paragraph">
    <w:name w:val="paragraph"/>
    <w:basedOn w:val="Normal"/>
    <w:rsid w:val="000D4943"/>
    <w:pPr>
      <w:spacing w:before="100" w:beforeAutospacing="1" w:after="100" w:afterAutospacing="1" w:line="240" w:lineRule="auto"/>
    </w:pPr>
    <w:rPr>
      <w:rFonts w:ascii="Times New Roman" w:eastAsia="Times New Roman" w:hAnsi="Times New Roman" w:cs="Times New Roman"/>
      <w:b w:val="0"/>
      <w:sz w:val="24"/>
      <w:szCs w:val="24"/>
      <w:lang w:eastAsia="en-IN"/>
    </w:rPr>
  </w:style>
  <w:style w:type="character" w:customStyle="1" w:styleId="normaltextrun">
    <w:name w:val="normaltextrun"/>
    <w:basedOn w:val="DefaultParagraphFont"/>
    <w:rsid w:val="000D4943"/>
  </w:style>
  <w:style w:type="character" w:customStyle="1" w:styleId="eop">
    <w:name w:val="eop"/>
    <w:basedOn w:val="DefaultParagraphFont"/>
    <w:rsid w:val="000D4943"/>
  </w:style>
  <w:style w:type="character" w:styleId="CommentReference">
    <w:name w:val="annotation reference"/>
    <w:basedOn w:val="DefaultParagraphFont"/>
    <w:uiPriority w:val="99"/>
    <w:semiHidden/>
    <w:unhideWhenUsed/>
    <w:rsid w:val="00CE306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khaitanco.com/sites/default/files/2023-06/SEBI%20enhances%20disclosure%20and%20governance%20requirements%20of%20listed%20entities_1.pdf" TargetMode="External"/><Relationship Id="rId26" Type="http://schemas.openxmlformats.org/officeDocument/2006/relationships/hyperlink" Target="http://www.khaitanco.com" TargetMode="External"/><Relationship Id="rId3" Type="http://schemas.openxmlformats.org/officeDocument/2006/relationships/styles" Target="styles.xml"/><Relationship Id="rId21" Type="http://schemas.openxmlformats.org/officeDocument/2006/relationships/hyperlink" Target="https://www.bseindia.com/markets/MarketInfo/DispNewNoticesCirculars.aspx?page=20240521-58"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khaitanco.com/thought-leaderships/SEBI-enhances-disclosure-and-governance-requirements-of-listed-entities" TargetMode="External"/><Relationship Id="rId25" Type="http://schemas.openxmlformats.org/officeDocument/2006/relationships/hyperlink" Target="mailto:editors@khaitanco.com" TargetMode="External"/><Relationship Id="rId2" Type="http://schemas.openxmlformats.org/officeDocument/2006/relationships/numbering" Target="numbering.xml"/><Relationship Id="rId16" Type="http://schemas.openxmlformats.org/officeDocument/2006/relationships/hyperlink" Target="https://www.sebi.gov.in/legal/regulations/dec-2023/securities-and-exchange-board-of-india-listing-obligations-and-disclosure-requirements-regulations-2015-last-amended-on-december-21-2023-_80422.html" TargetMode="External"/><Relationship Id="rId20" Type="http://schemas.openxmlformats.org/officeDocument/2006/relationships/hyperlink" Target="https://www.sebi.gov.in/reports-and-statistics/reports/dec-2023/consultation-paper-on-amendments-to-sebi-regulations-with-respect-to-verification-of-market-rumours_80237.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ebi.gov.in/legal/circulars/may-2024/industry-standards-on-verification-of-market-rumours_83485.htm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bseindia.com/markets/MarketInfo/DispNewNoticesCirculars.aspx?page=20240521-53"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sebi.gov.in/reports-and-statistics/reports/jan-2024/consultation-paper-on-interim-recommendations-of-the-expert-committee-for-facilitating-ease-of-doing-business-and-harmonization-of-the-provisions-of-icdr-and-lodr-regulations_8058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sebi.gov.in/legal/circulars/may-2024/framework-for-considering-unaffected-price-for-transactions-upon-confirmation-of-market-rumour_83483.html" TargetMode="External"/><Relationship Id="rId27" Type="http://schemas.openxmlformats.org/officeDocument/2006/relationships/header" Target="head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_top"/></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F4145-B0E8-4FDD-AC23-A1253C80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2533</Words>
  <Characters>14443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Khaitan &amp; Co</dc:creator>
  <cp:keywords/>
  <dc:description/>
  <cp:lastModifiedBy>Lisa Harrington Reed</cp:lastModifiedBy>
  <cp:revision>2</cp:revision>
  <cp:lastPrinted>2020-09-13T12:38:00Z</cp:lastPrinted>
  <dcterms:created xsi:type="dcterms:W3CDTF">2024-05-30T11:55:00Z</dcterms:created>
  <dcterms:modified xsi:type="dcterms:W3CDTF">2024-05-30T11:55:00Z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1063f319674441ba76eb85af723c012938b13aa48d1585f32951c9153a64e883</vt:lpwstr>
  </property>
</Properties>
</file>